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0DF6" w:rsidRDefault="00337B67" w:rsidP="00134D10">
      <w:pPr>
        <w:overflowPunct/>
        <w:textAlignment w:val="auto"/>
        <w:outlineLvl w:val="6"/>
        <w:rPr>
          <w:rFonts w:ascii="Verdana" w:hAnsi="Verdana" w:cs="Arial"/>
          <w:b/>
          <w:bCs/>
          <w:color w:val="000000"/>
          <w:sz w:val="28"/>
          <w:szCs w:val="28"/>
          <w:u w:val="single"/>
          <w:lang w:eastAsia="de-CH"/>
        </w:rPr>
      </w:pPr>
      <w:bookmarkStart w:id="0" w:name="_GoBack"/>
      <w:bookmarkEnd w:id="0"/>
      <w:r w:rsidRPr="00134D10">
        <w:rPr>
          <w:rFonts w:ascii="Verdana" w:hAnsi="Verdana" w:cs="Arial"/>
          <w:b/>
          <w:bCs/>
          <w:color w:val="000000"/>
          <w:sz w:val="28"/>
          <w:szCs w:val="28"/>
          <w:u w:val="single"/>
          <w:lang w:eastAsia="de-CH"/>
        </w:rPr>
        <w:t>Glossar</w:t>
      </w:r>
    </w:p>
    <w:p w:rsidR="00134D10" w:rsidRPr="00134D10" w:rsidRDefault="00134D10" w:rsidP="00134D10">
      <w:pPr>
        <w:overflowPunct/>
        <w:textAlignment w:val="auto"/>
        <w:outlineLvl w:val="6"/>
        <w:rPr>
          <w:rFonts w:ascii="Verdana" w:hAnsi="Verdana" w:cs="Arial"/>
          <w:b/>
          <w:bCs/>
          <w:color w:val="000000"/>
          <w:sz w:val="28"/>
          <w:szCs w:val="28"/>
          <w:u w:val="single"/>
          <w:lang w:eastAsia="de-CH"/>
        </w:rPr>
      </w:pPr>
    </w:p>
    <w:tbl>
      <w:tblPr>
        <w:tblW w:w="9468" w:type="dxa"/>
        <w:tblLayout w:type="fixed"/>
        <w:tblLook w:val="01E0" w:firstRow="1" w:lastRow="1" w:firstColumn="1" w:lastColumn="1" w:noHBand="0" w:noVBand="0"/>
      </w:tblPr>
      <w:tblGrid>
        <w:gridCol w:w="3708"/>
        <w:gridCol w:w="5760"/>
      </w:tblGrid>
      <w:tr w:rsidR="00D074AC" w:rsidRPr="001D5C1F" w:rsidTr="00171B88">
        <w:tc>
          <w:tcPr>
            <w:tcW w:w="3708" w:type="dxa"/>
          </w:tcPr>
          <w:p w:rsidR="00D074AC" w:rsidRPr="001D5C1F" w:rsidRDefault="00D074AC" w:rsidP="001D5C1F">
            <w:pPr>
              <w:ind w:right="34"/>
              <w:rPr>
                <w:rFonts w:ascii="Verdana" w:hAnsi="Verdana"/>
                <w:b/>
                <w:sz w:val="20"/>
              </w:rPr>
            </w:pPr>
            <w:r w:rsidRPr="001D5C1F">
              <w:rPr>
                <w:rFonts w:ascii="Verdana" w:hAnsi="Verdana"/>
                <w:b/>
                <w:sz w:val="20"/>
              </w:rPr>
              <w:t>Abschreibungen</w:t>
            </w:r>
          </w:p>
        </w:tc>
        <w:tc>
          <w:tcPr>
            <w:tcW w:w="5760" w:type="dxa"/>
          </w:tcPr>
          <w:p w:rsidR="00D074AC" w:rsidRPr="001D5C1F" w:rsidRDefault="00D074AC" w:rsidP="001D5C1F">
            <w:pPr>
              <w:spacing w:after="60"/>
              <w:ind w:left="-51" w:right="34"/>
              <w:rPr>
                <w:rFonts w:ascii="Verdana" w:hAnsi="Verdana"/>
                <w:sz w:val="20"/>
              </w:rPr>
            </w:pPr>
            <w:r w:rsidRPr="001D5C1F">
              <w:rPr>
                <w:rFonts w:ascii="Verdana" w:hAnsi="Verdana"/>
                <w:i/>
                <w:sz w:val="20"/>
              </w:rPr>
              <w:t xml:space="preserve">Abschreibungen </w:t>
            </w:r>
            <w:r w:rsidRPr="001D5C1F">
              <w:rPr>
                <w:rFonts w:ascii="Verdana" w:hAnsi="Verdana"/>
                <w:sz w:val="20"/>
              </w:rPr>
              <w:t>auf Guthaben und Anlagen des Finanzvermögens sowie Abschreibungen auf den Rest</w:t>
            </w:r>
            <w:r w:rsidR="0061273C">
              <w:rPr>
                <w:rFonts w:ascii="Verdana" w:hAnsi="Verdana"/>
                <w:sz w:val="20"/>
              </w:rPr>
              <w:softHyphen/>
            </w:r>
            <w:r w:rsidRPr="001D5C1F">
              <w:rPr>
                <w:rFonts w:ascii="Verdana" w:hAnsi="Verdana"/>
                <w:sz w:val="20"/>
              </w:rPr>
              <w:t>buchwerten des Verwaltungsvermögens (ordentliche und zusätzliche Abschreibungen).</w:t>
            </w:r>
          </w:p>
        </w:tc>
      </w:tr>
      <w:tr w:rsidR="00670DF6" w:rsidRPr="001D5C1F" w:rsidTr="00337B67">
        <w:tc>
          <w:tcPr>
            <w:tcW w:w="3708" w:type="dxa"/>
          </w:tcPr>
          <w:p w:rsidR="00670DF6" w:rsidRPr="001D5C1F" w:rsidRDefault="00670DF6" w:rsidP="001D5C1F">
            <w:pPr>
              <w:ind w:right="34"/>
              <w:rPr>
                <w:rFonts w:ascii="Verdana" w:hAnsi="Verdana"/>
                <w:b/>
                <w:sz w:val="20"/>
              </w:rPr>
            </w:pPr>
            <w:r w:rsidRPr="001D5C1F">
              <w:rPr>
                <w:rFonts w:ascii="Verdana" w:hAnsi="Verdana"/>
                <w:b/>
                <w:sz w:val="20"/>
              </w:rPr>
              <w:t>Aktive Rechnungsabgrenzung</w:t>
            </w:r>
          </w:p>
        </w:tc>
        <w:tc>
          <w:tcPr>
            <w:tcW w:w="5760" w:type="dxa"/>
          </w:tcPr>
          <w:p w:rsidR="00670DF6" w:rsidRPr="001D5C1F" w:rsidRDefault="00670DF6" w:rsidP="001D5C1F">
            <w:pPr>
              <w:spacing w:after="60"/>
              <w:ind w:left="-51" w:right="34"/>
              <w:rPr>
                <w:rFonts w:ascii="Verdana" w:hAnsi="Verdana"/>
                <w:sz w:val="20"/>
              </w:rPr>
            </w:pPr>
            <w:r w:rsidRPr="001D5C1F">
              <w:rPr>
                <w:rFonts w:ascii="Verdana" w:hAnsi="Verdana"/>
                <w:i/>
                <w:sz w:val="20"/>
              </w:rPr>
              <w:t>Aktive Rechnungsabgrenzungen</w:t>
            </w:r>
            <w:r w:rsidRPr="001D5C1F">
              <w:rPr>
                <w:rFonts w:ascii="Verdana" w:hAnsi="Verdana"/>
                <w:sz w:val="20"/>
              </w:rPr>
              <w:t xml:space="preserve"> sind Rechnungsab</w:t>
            </w:r>
            <w:r w:rsidRPr="001D5C1F">
              <w:rPr>
                <w:rFonts w:ascii="Verdana" w:hAnsi="Verdana"/>
                <w:sz w:val="20"/>
              </w:rPr>
              <w:softHyphen/>
              <w:t>grenzungen, bei denen ein Auseinanderliegen von Wertzuwachs bzw. -verzehr und Zahlung besteht. Dies kann entweder bei Zahlungen der Fall sein, welche noch nicht eingetroffen sind, aber noch zum alten Rechnungsjahr gehören (antizipative Aktiva), oder bei Zahlungen, welche im Voraus geleistet wurden (tran</w:t>
            </w:r>
            <w:r w:rsidR="0061273C">
              <w:rPr>
                <w:rFonts w:ascii="Verdana" w:hAnsi="Verdana"/>
                <w:sz w:val="20"/>
              </w:rPr>
              <w:softHyphen/>
            </w:r>
            <w:r w:rsidRPr="001D5C1F">
              <w:rPr>
                <w:rFonts w:ascii="Verdana" w:hAnsi="Verdana"/>
                <w:sz w:val="20"/>
              </w:rPr>
              <w:t>sitorische Aktiva im engeren Sinne).</w:t>
            </w:r>
          </w:p>
        </w:tc>
      </w:tr>
      <w:tr w:rsidR="00670DF6" w:rsidRPr="001D5C1F" w:rsidTr="00337B67">
        <w:tc>
          <w:tcPr>
            <w:tcW w:w="3708" w:type="dxa"/>
          </w:tcPr>
          <w:p w:rsidR="00670DF6" w:rsidRPr="001D5C1F" w:rsidRDefault="00670DF6" w:rsidP="001D5C1F">
            <w:pPr>
              <w:ind w:right="79"/>
              <w:rPr>
                <w:rFonts w:ascii="Verdana" w:hAnsi="Verdana"/>
                <w:b/>
                <w:sz w:val="20"/>
              </w:rPr>
            </w:pPr>
            <w:r w:rsidRPr="001D5C1F">
              <w:rPr>
                <w:rFonts w:ascii="Verdana" w:hAnsi="Verdana"/>
                <w:b/>
                <w:sz w:val="20"/>
              </w:rPr>
              <w:t>Aktiven</w:t>
            </w:r>
          </w:p>
        </w:tc>
        <w:tc>
          <w:tcPr>
            <w:tcW w:w="5760" w:type="dxa"/>
          </w:tcPr>
          <w:p w:rsidR="00670DF6" w:rsidRPr="001D5C1F" w:rsidRDefault="00670DF6" w:rsidP="001D5C1F">
            <w:pPr>
              <w:spacing w:after="60"/>
              <w:ind w:left="-51" w:right="34"/>
              <w:rPr>
                <w:rFonts w:ascii="Verdana" w:hAnsi="Verdana"/>
                <w:sz w:val="20"/>
              </w:rPr>
            </w:pPr>
            <w:r w:rsidRPr="001D5C1F">
              <w:rPr>
                <w:rFonts w:ascii="Verdana" w:hAnsi="Verdana"/>
                <w:sz w:val="20"/>
              </w:rPr>
              <w:t>In der Sprache der Finanzbuchhaltung wird das Ver</w:t>
            </w:r>
            <w:r w:rsidR="0061273C">
              <w:rPr>
                <w:rFonts w:ascii="Verdana" w:hAnsi="Verdana"/>
                <w:sz w:val="20"/>
              </w:rPr>
              <w:softHyphen/>
            </w:r>
            <w:r w:rsidRPr="001D5C1F">
              <w:rPr>
                <w:rFonts w:ascii="Verdana" w:hAnsi="Verdana"/>
                <w:sz w:val="20"/>
              </w:rPr>
              <w:t xml:space="preserve">mögen als </w:t>
            </w:r>
            <w:r w:rsidRPr="001D5C1F">
              <w:rPr>
                <w:rFonts w:ascii="Verdana" w:hAnsi="Verdana"/>
                <w:i/>
                <w:sz w:val="20"/>
              </w:rPr>
              <w:t>Aktiven</w:t>
            </w:r>
            <w:r w:rsidRPr="001D5C1F">
              <w:rPr>
                <w:rFonts w:ascii="Verdana" w:hAnsi="Verdana"/>
                <w:sz w:val="20"/>
              </w:rPr>
              <w:t xml:space="preserve"> bezeichnet. Die Aktiven befinden sich auf der linken Seite der Bilanz. Die Aktivseite gibt an, wofür das Kapital (d.h. die finanziellen Mittel) im Rahmen von Investitions</w:t>
            </w:r>
            <w:r w:rsidRPr="001D5C1F">
              <w:rPr>
                <w:rFonts w:ascii="Verdana" w:hAnsi="Verdana"/>
                <w:sz w:val="20"/>
              </w:rPr>
              <w:softHyphen/>
              <w:t>aktivitäten (Mittelverwen</w:t>
            </w:r>
            <w:r w:rsidR="0061273C">
              <w:rPr>
                <w:rFonts w:ascii="Verdana" w:hAnsi="Verdana"/>
                <w:sz w:val="20"/>
              </w:rPr>
              <w:softHyphen/>
            </w:r>
            <w:r w:rsidRPr="001D5C1F">
              <w:rPr>
                <w:rFonts w:ascii="Verdana" w:hAnsi="Verdana"/>
                <w:sz w:val="20"/>
              </w:rPr>
              <w:t>dung) verwendet wurde. Die Reihenfolge der Aktiven entspricht in der Regel der Liquidierbarkeit.</w:t>
            </w:r>
          </w:p>
        </w:tc>
      </w:tr>
      <w:tr w:rsidR="00670DF6" w:rsidRPr="001D5C1F" w:rsidTr="00337B67">
        <w:tc>
          <w:tcPr>
            <w:tcW w:w="3708" w:type="dxa"/>
          </w:tcPr>
          <w:p w:rsidR="00670DF6" w:rsidRPr="001D5C1F" w:rsidRDefault="00670DF6" w:rsidP="001D5C1F">
            <w:pPr>
              <w:ind w:right="79"/>
              <w:rPr>
                <w:rFonts w:ascii="Verdana" w:hAnsi="Verdana"/>
                <w:b/>
                <w:sz w:val="20"/>
              </w:rPr>
            </w:pPr>
            <w:r w:rsidRPr="001D5C1F">
              <w:rPr>
                <w:rFonts w:ascii="Verdana" w:hAnsi="Verdana"/>
                <w:b/>
                <w:sz w:val="20"/>
              </w:rPr>
              <w:t>Aktivierung</w:t>
            </w:r>
          </w:p>
        </w:tc>
        <w:tc>
          <w:tcPr>
            <w:tcW w:w="5760" w:type="dxa"/>
          </w:tcPr>
          <w:p w:rsidR="00670DF6" w:rsidRPr="001D5C1F" w:rsidRDefault="00670DF6" w:rsidP="001D5C1F">
            <w:pPr>
              <w:spacing w:after="60"/>
              <w:ind w:left="-51" w:right="34"/>
              <w:rPr>
                <w:rFonts w:ascii="Verdana" w:hAnsi="Verdana"/>
                <w:sz w:val="20"/>
              </w:rPr>
            </w:pPr>
            <w:r w:rsidRPr="001D5C1F">
              <w:rPr>
                <w:rFonts w:ascii="Verdana" w:hAnsi="Verdana"/>
                <w:sz w:val="20"/>
              </w:rPr>
              <w:t xml:space="preserve">Die </w:t>
            </w:r>
            <w:r w:rsidRPr="001D5C1F">
              <w:rPr>
                <w:rFonts w:ascii="Verdana" w:hAnsi="Verdana"/>
                <w:i/>
                <w:sz w:val="20"/>
              </w:rPr>
              <w:t xml:space="preserve">Aktivierung </w:t>
            </w:r>
            <w:r w:rsidRPr="001D5C1F">
              <w:rPr>
                <w:rFonts w:ascii="Verdana" w:hAnsi="Verdana"/>
                <w:sz w:val="20"/>
              </w:rPr>
              <w:t>bezeichnet generell das Einsetzen einer Position für einen Vermögensgegenstand auf der Aktivseite der Bilanz. Insbesondere bedeutet die Akti</w:t>
            </w:r>
            <w:r w:rsidR="0061273C">
              <w:rPr>
                <w:rFonts w:ascii="Verdana" w:hAnsi="Verdana"/>
                <w:sz w:val="20"/>
              </w:rPr>
              <w:softHyphen/>
            </w:r>
            <w:r w:rsidRPr="001D5C1F">
              <w:rPr>
                <w:rFonts w:ascii="Verdana" w:hAnsi="Verdana"/>
                <w:sz w:val="20"/>
              </w:rPr>
              <w:t>vierung von Investitionsausgaben die Einstellung dieser Ausgaben auf die Aktivseite der Bilanz.</w:t>
            </w:r>
          </w:p>
        </w:tc>
      </w:tr>
      <w:tr w:rsidR="00670DF6" w:rsidRPr="001D5C1F" w:rsidTr="00337B67">
        <w:tc>
          <w:tcPr>
            <w:tcW w:w="3708" w:type="dxa"/>
          </w:tcPr>
          <w:p w:rsidR="00670DF6" w:rsidRPr="001D5C1F" w:rsidRDefault="00670DF6" w:rsidP="001D5C1F">
            <w:pPr>
              <w:ind w:right="34"/>
              <w:rPr>
                <w:rFonts w:ascii="Verdana" w:hAnsi="Verdana"/>
                <w:b/>
                <w:sz w:val="20"/>
              </w:rPr>
            </w:pPr>
            <w:r w:rsidRPr="001D5C1F">
              <w:rPr>
                <w:rFonts w:ascii="Verdana" w:hAnsi="Verdana"/>
                <w:b/>
                <w:sz w:val="20"/>
              </w:rPr>
              <w:t>Aktivierungsgrenze</w:t>
            </w:r>
          </w:p>
        </w:tc>
        <w:tc>
          <w:tcPr>
            <w:tcW w:w="5760" w:type="dxa"/>
          </w:tcPr>
          <w:p w:rsidR="00670DF6" w:rsidRPr="001D5C1F" w:rsidRDefault="00670DF6" w:rsidP="001D5C1F">
            <w:pPr>
              <w:spacing w:after="60"/>
              <w:ind w:left="-51" w:right="34"/>
              <w:rPr>
                <w:rFonts w:ascii="Verdana" w:hAnsi="Verdana"/>
                <w:sz w:val="20"/>
              </w:rPr>
            </w:pPr>
            <w:r w:rsidRPr="001D5C1F">
              <w:rPr>
                <w:rFonts w:ascii="Verdana" w:hAnsi="Verdana"/>
                <w:sz w:val="20"/>
              </w:rPr>
              <w:t xml:space="preserve">Die </w:t>
            </w:r>
            <w:r w:rsidRPr="001D5C1F">
              <w:rPr>
                <w:rFonts w:ascii="Verdana" w:hAnsi="Verdana"/>
                <w:i/>
                <w:sz w:val="20"/>
              </w:rPr>
              <w:t>Aktivierungsgrenze</w:t>
            </w:r>
            <w:r w:rsidRPr="001D5C1F">
              <w:rPr>
                <w:rFonts w:ascii="Verdana" w:hAnsi="Verdana"/>
                <w:sz w:val="20"/>
              </w:rPr>
              <w:t xml:space="preserve"> stellt den Grenzbetrag dar, ab welchem eine Anlage aktiviert werden soll.</w:t>
            </w:r>
          </w:p>
        </w:tc>
      </w:tr>
      <w:tr w:rsidR="00D074AC" w:rsidRPr="001D5C1F" w:rsidTr="00171B88">
        <w:tc>
          <w:tcPr>
            <w:tcW w:w="3708" w:type="dxa"/>
          </w:tcPr>
          <w:p w:rsidR="00D074AC" w:rsidRPr="001D5C1F" w:rsidRDefault="00D074AC" w:rsidP="001D5C1F">
            <w:pPr>
              <w:ind w:right="79"/>
              <w:rPr>
                <w:rFonts w:ascii="Verdana" w:hAnsi="Verdana"/>
                <w:b/>
                <w:sz w:val="20"/>
              </w:rPr>
            </w:pPr>
            <w:r w:rsidRPr="001D5C1F">
              <w:rPr>
                <w:rFonts w:ascii="Verdana" w:hAnsi="Verdana"/>
                <w:b/>
                <w:sz w:val="20"/>
              </w:rPr>
              <w:t>Amortisation</w:t>
            </w:r>
          </w:p>
        </w:tc>
        <w:tc>
          <w:tcPr>
            <w:tcW w:w="5760" w:type="dxa"/>
          </w:tcPr>
          <w:p w:rsidR="00D074AC" w:rsidRPr="001D5C1F" w:rsidRDefault="001D5C1F" w:rsidP="001D5C1F">
            <w:pPr>
              <w:spacing w:after="60"/>
              <w:ind w:left="-51" w:right="34"/>
              <w:rPr>
                <w:rFonts w:ascii="Verdana" w:hAnsi="Verdana"/>
                <w:sz w:val="20"/>
              </w:rPr>
            </w:pPr>
            <w:r>
              <w:rPr>
                <w:rFonts w:ascii="Verdana" w:hAnsi="Verdana"/>
                <w:sz w:val="20"/>
              </w:rPr>
              <w:t xml:space="preserve">Unter Amortisation versteht man die </w:t>
            </w:r>
            <w:r w:rsidR="00D074AC" w:rsidRPr="001D5C1F">
              <w:rPr>
                <w:rFonts w:ascii="Verdana" w:hAnsi="Verdana"/>
                <w:sz w:val="20"/>
              </w:rPr>
              <w:t>Rückzahlung von Schulden.</w:t>
            </w:r>
          </w:p>
        </w:tc>
      </w:tr>
      <w:tr w:rsidR="00670DF6" w:rsidRPr="001D5C1F" w:rsidTr="00337B67">
        <w:tc>
          <w:tcPr>
            <w:tcW w:w="3708" w:type="dxa"/>
          </w:tcPr>
          <w:p w:rsidR="00670DF6" w:rsidRPr="001D5C1F" w:rsidRDefault="00670DF6" w:rsidP="001D5C1F">
            <w:pPr>
              <w:ind w:right="34"/>
              <w:rPr>
                <w:rFonts w:ascii="Verdana" w:hAnsi="Verdana"/>
                <w:b/>
                <w:sz w:val="20"/>
              </w:rPr>
            </w:pPr>
            <w:r w:rsidRPr="001D5C1F">
              <w:rPr>
                <w:rFonts w:ascii="Verdana" w:hAnsi="Verdana"/>
                <w:b/>
                <w:sz w:val="20"/>
              </w:rPr>
              <w:t>Anhang</w:t>
            </w:r>
          </w:p>
        </w:tc>
        <w:tc>
          <w:tcPr>
            <w:tcW w:w="5760" w:type="dxa"/>
          </w:tcPr>
          <w:p w:rsidR="00670DF6" w:rsidRPr="001D5C1F" w:rsidRDefault="00670DF6" w:rsidP="001D5C1F">
            <w:pPr>
              <w:spacing w:after="60"/>
              <w:ind w:left="-51" w:right="34"/>
              <w:rPr>
                <w:rFonts w:ascii="Verdana" w:hAnsi="Verdana"/>
                <w:sz w:val="20"/>
              </w:rPr>
            </w:pPr>
            <w:r w:rsidRPr="001D5C1F">
              <w:rPr>
                <w:rFonts w:ascii="Verdana" w:hAnsi="Verdana"/>
                <w:sz w:val="20"/>
              </w:rPr>
              <w:t xml:space="preserve">Als </w:t>
            </w:r>
            <w:r w:rsidRPr="001D5C1F">
              <w:rPr>
                <w:rFonts w:ascii="Verdana" w:hAnsi="Verdana"/>
                <w:i/>
                <w:sz w:val="20"/>
              </w:rPr>
              <w:t>Anhang</w:t>
            </w:r>
            <w:r w:rsidRPr="001D5C1F">
              <w:rPr>
                <w:rFonts w:ascii="Verdana" w:hAnsi="Verdana"/>
                <w:sz w:val="20"/>
              </w:rPr>
              <w:t xml:space="preserve"> bezeichnet man grundsätzlich zusätzliches Material oder Dokumente, die einem Hauptdokument beigefügt werden. In der Rechnungslegung ist der Anhang neben Bilanz- und Erfolgsrechnung ein Teil der Jahresrechnung. Er enthält meist zusätzliche Informa</w:t>
            </w:r>
            <w:r w:rsidR="0061273C">
              <w:rPr>
                <w:rFonts w:ascii="Verdana" w:hAnsi="Verdana"/>
                <w:sz w:val="20"/>
              </w:rPr>
              <w:softHyphen/>
            </w:r>
            <w:r w:rsidRPr="001D5C1F">
              <w:rPr>
                <w:rFonts w:ascii="Verdana" w:hAnsi="Verdana"/>
                <w:sz w:val="20"/>
              </w:rPr>
              <w:t>tionen zu den Rechnungen, welche in den Haupt</w:t>
            </w:r>
            <w:r w:rsidR="0061273C">
              <w:rPr>
                <w:rFonts w:ascii="Verdana" w:hAnsi="Verdana"/>
                <w:sz w:val="20"/>
              </w:rPr>
              <w:softHyphen/>
            </w:r>
            <w:r w:rsidRPr="001D5C1F">
              <w:rPr>
                <w:rFonts w:ascii="Verdana" w:hAnsi="Verdana"/>
                <w:sz w:val="20"/>
              </w:rPr>
              <w:t>rechnungen noch nicht offen gelegt worden sind.</w:t>
            </w:r>
          </w:p>
        </w:tc>
      </w:tr>
      <w:tr w:rsidR="00670DF6" w:rsidRPr="001D5C1F" w:rsidTr="00337B67">
        <w:tc>
          <w:tcPr>
            <w:tcW w:w="3708" w:type="dxa"/>
          </w:tcPr>
          <w:p w:rsidR="00670DF6" w:rsidRPr="001D5C1F" w:rsidRDefault="00670DF6" w:rsidP="001D5C1F">
            <w:pPr>
              <w:ind w:right="79"/>
              <w:rPr>
                <w:rFonts w:ascii="Verdana" w:hAnsi="Verdana"/>
                <w:b/>
                <w:sz w:val="20"/>
              </w:rPr>
            </w:pPr>
            <w:r w:rsidRPr="001D5C1F">
              <w:rPr>
                <w:rFonts w:ascii="Verdana" w:hAnsi="Verdana"/>
                <w:b/>
                <w:sz w:val="20"/>
              </w:rPr>
              <w:t>Anlagespiegel</w:t>
            </w:r>
          </w:p>
        </w:tc>
        <w:tc>
          <w:tcPr>
            <w:tcW w:w="5760" w:type="dxa"/>
          </w:tcPr>
          <w:p w:rsidR="00670DF6" w:rsidRPr="001D5C1F" w:rsidRDefault="00670DF6" w:rsidP="001D5C1F">
            <w:pPr>
              <w:spacing w:after="60"/>
              <w:ind w:left="-51" w:right="34"/>
              <w:rPr>
                <w:rFonts w:ascii="Verdana" w:hAnsi="Verdana"/>
                <w:sz w:val="20"/>
              </w:rPr>
            </w:pPr>
            <w:r w:rsidRPr="001D5C1F">
              <w:rPr>
                <w:rFonts w:ascii="Verdana" w:hAnsi="Verdana"/>
                <w:sz w:val="20"/>
              </w:rPr>
              <w:t xml:space="preserve">Der </w:t>
            </w:r>
            <w:r w:rsidRPr="001D5C1F">
              <w:rPr>
                <w:rFonts w:ascii="Verdana" w:hAnsi="Verdana"/>
                <w:i/>
                <w:sz w:val="20"/>
              </w:rPr>
              <w:t>Anlagespiegel</w:t>
            </w:r>
            <w:r w:rsidRPr="001D5C1F">
              <w:rPr>
                <w:rFonts w:ascii="Verdana" w:hAnsi="Verdana"/>
                <w:sz w:val="20"/>
              </w:rPr>
              <w:t xml:space="preserve"> ist ein Zusatz zur Bilanz (meist im Anhang), welcher über die Wertentwicklung der einzelnen Bilanzpositionen des Anlagevermögens informiert. </w:t>
            </w:r>
          </w:p>
        </w:tc>
      </w:tr>
      <w:tr w:rsidR="00670DF6" w:rsidRPr="001D5C1F" w:rsidTr="00337B67">
        <w:tc>
          <w:tcPr>
            <w:tcW w:w="3708" w:type="dxa"/>
          </w:tcPr>
          <w:p w:rsidR="00670DF6" w:rsidRPr="001D5C1F" w:rsidRDefault="00670DF6" w:rsidP="001D5C1F">
            <w:pPr>
              <w:ind w:right="34"/>
              <w:rPr>
                <w:rFonts w:ascii="Verdana" w:hAnsi="Verdana"/>
                <w:b/>
                <w:sz w:val="20"/>
              </w:rPr>
            </w:pPr>
            <w:r w:rsidRPr="001D5C1F">
              <w:rPr>
                <w:rFonts w:ascii="Verdana" w:hAnsi="Verdana"/>
                <w:b/>
                <w:sz w:val="20"/>
              </w:rPr>
              <w:t>Anlagevermögen</w:t>
            </w:r>
          </w:p>
        </w:tc>
        <w:tc>
          <w:tcPr>
            <w:tcW w:w="5760" w:type="dxa"/>
          </w:tcPr>
          <w:p w:rsidR="00670DF6" w:rsidRPr="001D5C1F" w:rsidRDefault="00670DF6" w:rsidP="001D5C1F">
            <w:pPr>
              <w:spacing w:after="60"/>
              <w:ind w:left="-51" w:right="34"/>
              <w:rPr>
                <w:rFonts w:ascii="Verdana" w:hAnsi="Verdana"/>
                <w:sz w:val="20"/>
              </w:rPr>
            </w:pPr>
            <w:r w:rsidRPr="001D5C1F">
              <w:rPr>
                <w:rFonts w:ascii="Verdana" w:hAnsi="Verdana"/>
                <w:sz w:val="20"/>
              </w:rPr>
              <w:t xml:space="preserve">Das </w:t>
            </w:r>
            <w:r w:rsidRPr="001D5C1F">
              <w:rPr>
                <w:rFonts w:ascii="Verdana" w:hAnsi="Verdana"/>
                <w:i/>
                <w:sz w:val="20"/>
              </w:rPr>
              <w:t>Anlagevermögen</w:t>
            </w:r>
            <w:r w:rsidRPr="001D5C1F">
              <w:rPr>
                <w:rFonts w:ascii="Verdana" w:hAnsi="Verdana"/>
                <w:sz w:val="20"/>
              </w:rPr>
              <w:t xml:space="preserve"> besteht aus den Anlagen. Das Anlagevermögen zeichnet sich durch die Nutzung der Vermögensgüter über mehrere Jahre aus, im Gegen</w:t>
            </w:r>
            <w:r w:rsidR="0061273C">
              <w:rPr>
                <w:rFonts w:ascii="Verdana" w:hAnsi="Verdana"/>
                <w:sz w:val="20"/>
              </w:rPr>
              <w:softHyphen/>
            </w:r>
            <w:r w:rsidRPr="001D5C1F">
              <w:rPr>
                <w:rFonts w:ascii="Verdana" w:hAnsi="Verdana"/>
                <w:sz w:val="20"/>
              </w:rPr>
              <w:t xml:space="preserve">satz zur direkten Nutzung des Umlaufvermögens. Das Anlagevermögen umfasst sowohl Positionen des Finanz- wie auch Verwaltungsvermögens. </w:t>
            </w:r>
          </w:p>
        </w:tc>
      </w:tr>
      <w:tr w:rsidR="00ED0525" w:rsidRPr="001D5C1F" w:rsidTr="00171B88">
        <w:tc>
          <w:tcPr>
            <w:tcW w:w="3708" w:type="dxa"/>
          </w:tcPr>
          <w:p w:rsidR="00ED0525" w:rsidRPr="001D5C1F" w:rsidRDefault="00ED0525" w:rsidP="001D5C1F">
            <w:pPr>
              <w:ind w:right="79"/>
              <w:rPr>
                <w:rFonts w:ascii="Verdana" w:hAnsi="Verdana"/>
                <w:b/>
                <w:sz w:val="20"/>
              </w:rPr>
            </w:pPr>
            <w:r w:rsidRPr="001D5C1F">
              <w:rPr>
                <w:rFonts w:ascii="Verdana" w:hAnsi="Verdana"/>
                <w:b/>
                <w:sz w:val="20"/>
              </w:rPr>
              <w:t>Artengliederung</w:t>
            </w:r>
          </w:p>
        </w:tc>
        <w:tc>
          <w:tcPr>
            <w:tcW w:w="5760" w:type="dxa"/>
          </w:tcPr>
          <w:p w:rsidR="00ED0525" w:rsidRPr="001D5C1F" w:rsidRDefault="00ED0525" w:rsidP="001D5C1F">
            <w:pPr>
              <w:tabs>
                <w:tab w:val="left" w:pos="4674"/>
              </w:tabs>
              <w:spacing w:after="80"/>
              <w:ind w:left="-52" w:right="34"/>
              <w:rPr>
                <w:rFonts w:ascii="Verdana" w:hAnsi="Verdana"/>
                <w:sz w:val="20"/>
                <w:lang w:val="de-DE"/>
              </w:rPr>
            </w:pPr>
            <w:r w:rsidRPr="001D5C1F">
              <w:rPr>
                <w:rFonts w:ascii="Verdana" w:hAnsi="Verdana"/>
                <w:sz w:val="20"/>
              </w:rPr>
              <w:t>Gliederung der Verwaltungsrechnung nach dem Kontenrahmen der öffentlichen Haushalte</w:t>
            </w:r>
            <w:r w:rsidR="00843CD7" w:rsidRPr="001D5C1F">
              <w:rPr>
                <w:rFonts w:ascii="Verdana" w:hAnsi="Verdana"/>
                <w:sz w:val="20"/>
              </w:rPr>
              <w:t>.</w:t>
            </w:r>
          </w:p>
        </w:tc>
      </w:tr>
      <w:tr w:rsidR="00670DF6" w:rsidRPr="001D5C1F" w:rsidTr="00337B67">
        <w:tc>
          <w:tcPr>
            <w:tcW w:w="3708" w:type="dxa"/>
          </w:tcPr>
          <w:p w:rsidR="00670DF6" w:rsidRPr="001D5C1F" w:rsidRDefault="00670DF6" w:rsidP="001D5C1F">
            <w:pPr>
              <w:ind w:right="34"/>
              <w:rPr>
                <w:rFonts w:ascii="Verdana" w:hAnsi="Verdana"/>
                <w:b/>
                <w:sz w:val="20"/>
              </w:rPr>
            </w:pPr>
            <w:r w:rsidRPr="001D5C1F">
              <w:rPr>
                <w:rFonts w:ascii="Verdana" w:hAnsi="Verdana"/>
                <w:b/>
                <w:sz w:val="20"/>
              </w:rPr>
              <w:t>Aufwand</w:t>
            </w:r>
          </w:p>
        </w:tc>
        <w:tc>
          <w:tcPr>
            <w:tcW w:w="5760" w:type="dxa"/>
          </w:tcPr>
          <w:p w:rsidR="00670DF6" w:rsidRPr="001D5C1F" w:rsidRDefault="00670DF6" w:rsidP="001D5C1F">
            <w:pPr>
              <w:spacing w:after="80"/>
              <w:ind w:left="-52" w:right="34"/>
              <w:rPr>
                <w:rFonts w:ascii="Verdana" w:hAnsi="Verdana"/>
                <w:sz w:val="20"/>
              </w:rPr>
            </w:pPr>
            <w:r w:rsidRPr="001D5C1F">
              <w:rPr>
                <w:rFonts w:ascii="Verdana" w:hAnsi="Verdana"/>
                <w:sz w:val="20"/>
              </w:rPr>
              <w:t xml:space="preserve">Erfolgsrechnerischer Begriff der Finanzbuchhaltung. Ein </w:t>
            </w:r>
            <w:r w:rsidRPr="001D5C1F">
              <w:rPr>
                <w:rFonts w:ascii="Verdana" w:hAnsi="Verdana"/>
                <w:i/>
                <w:sz w:val="20"/>
              </w:rPr>
              <w:t>Aufwand</w:t>
            </w:r>
            <w:r w:rsidRPr="001D5C1F">
              <w:rPr>
                <w:rFonts w:ascii="Verdana" w:hAnsi="Verdana"/>
                <w:sz w:val="20"/>
              </w:rPr>
              <w:t xml:space="preserve"> ist eine monetäre Bewertung der in ei</w:t>
            </w:r>
            <w:r w:rsidR="00337B67" w:rsidRPr="001D5C1F">
              <w:rPr>
                <w:rFonts w:ascii="Verdana" w:hAnsi="Verdana"/>
                <w:sz w:val="20"/>
              </w:rPr>
              <w:t>ner Rechnungsperiode verbrauch</w:t>
            </w:r>
            <w:r w:rsidRPr="001D5C1F">
              <w:rPr>
                <w:rFonts w:ascii="Verdana" w:hAnsi="Verdana"/>
                <w:sz w:val="20"/>
              </w:rPr>
              <w:t>ten oder verzehrten Güter und Dienstleistungen.</w:t>
            </w:r>
          </w:p>
          <w:p w:rsidR="00670DF6" w:rsidRPr="001D5C1F" w:rsidRDefault="00670DF6" w:rsidP="001D5C1F">
            <w:pPr>
              <w:spacing w:after="80"/>
              <w:ind w:left="-52" w:right="34"/>
              <w:rPr>
                <w:rFonts w:ascii="Verdana" w:hAnsi="Verdana"/>
                <w:sz w:val="20"/>
              </w:rPr>
            </w:pPr>
            <w:r w:rsidRPr="001D5C1F">
              <w:rPr>
                <w:rFonts w:ascii="Verdana" w:hAnsi="Verdana"/>
                <w:sz w:val="20"/>
              </w:rPr>
              <w:t>Im HRM2 bezeichnet der Gesamtaufwand den gesam</w:t>
            </w:r>
            <w:r w:rsidR="0061273C">
              <w:rPr>
                <w:rFonts w:ascii="Verdana" w:hAnsi="Verdana"/>
                <w:sz w:val="20"/>
              </w:rPr>
              <w:softHyphen/>
            </w:r>
            <w:r w:rsidRPr="001D5C1F">
              <w:rPr>
                <w:rFonts w:ascii="Verdana" w:hAnsi="Verdana"/>
                <w:sz w:val="20"/>
              </w:rPr>
              <w:t>ten Wertverzehr w</w:t>
            </w:r>
            <w:r w:rsidR="00337B67" w:rsidRPr="001D5C1F">
              <w:rPr>
                <w:rFonts w:ascii="Verdana" w:hAnsi="Verdana"/>
                <w:sz w:val="20"/>
              </w:rPr>
              <w:t>ährend einer Rechnungsperiode.</w:t>
            </w:r>
          </w:p>
        </w:tc>
      </w:tr>
      <w:tr w:rsidR="00670DF6" w:rsidRPr="001D5C1F" w:rsidTr="00337B67">
        <w:tc>
          <w:tcPr>
            <w:tcW w:w="3708" w:type="dxa"/>
          </w:tcPr>
          <w:p w:rsidR="00670DF6" w:rsidRPr="001D5C1F" w:rsidRDefault="00670DF6" w:rsidP="001D5C1F">
            <w:pPr>
              <w:ind w:right="79"/>
              <w:rPr>
                <w:rFonts w:ascii="Verdana" w:hAnsi="Verdana"/>
                <w:b/>
                <w:sz w:val="20"/>
              </w:rPr>
            </w:pPr>
            <w:r w:rsidRPr="001D5C1F">
              <w:rPr>
                <w:rFonts w:ascii="Verdana" w:hAnsi="Verdana"/>
                <w:b/>
                <w:sz w:val="20"/>
              </w:rPr>
              <w:lastRenderedPageBreak/>
              <w:t>Ausgaben</w:t>
            </w:r>
          </w:p>
        </w:tc>
        <w:tc>
          <w:tcPr>
            <w:tcW w:w="5760" w:type="dxa"/>
          </w:tcPr>
          <w:p w:rsidR="00670DF6" w:rsidRPr="001D5C1F" w:rsidRDefault="00670DF6" w:rsidP="001D5C1F">
            <w:pPr>
              <w:tabs>
                <w:tab w:val="left" w:pos="4674"/>
              </w:tabs>
              <w:spacing w:after="80"/>
              <w:ind w:left="-52" w:right="34"/>
              <w:rPr>
                <w:rFonts w:ascii="Verdana" w:hAnsi="Verdana"/>
                <w:sz w:val="20"/>
              </w:rPr>
            </w:pPr>
            <w:r w:rsidRPr="001D5C1F">
              <w:rPr>
                <w:rFonts w:ascii="Verdana" w:hAnsi="Verdana"/>
                <w:sz w:val="20"/>
              </w:rPr>
              <w:t xml:space="preserve">Im HRM2 ist eine </w:t>
            </w:r>
            <w:r w:rsidRPr="001D5C1F">
              <w:rPr>
                <w:rFonts w:ascii="Verdana" w:hAnsi="Verdana"/>
                <w:i/>
                <w:sz w:val="20"/>
              </w:rPr>
              <w:t>Ausgabe</w:t>
            </w:r>
            <w:r w:rsidRPr="001D5C1F">
              <w:rPr>
                <w:rFonts w:ascii="Verdana" w:hAnsi="Verdana"/>
                <w:sz w:val="20"/>
              </w:rPr>
              <w:t xml:space="preserve"> definiert als die Bindung von Finanzvermögen zur Erfüllung öffentlicher Auf</w:t>
            </w:r>
            <w:r w:rsidR="0061273C">
              <w:rPr>
                <w:rFonts w:ascii="Verdana" w:hAnsi="Verdana"/>
                <w:sz w:val="20"/>
              </w:rPr>
              <w:softHyphen/>
            </w:r>
            <w:r w:rsidRPr="001D5C1F">
              <w:rPr>
                <w:rFonts w:ascii="Verdana" w:hAnsi="Verdana"/>
                <w:sz w:val="20"/>
              </w:rPr>
              <w:t>gaben.</w:t>
            </w:r>
            <w:r w:rsidRPr="001D5C1F" w:rsidDel="006512E7">
              <w:rPr>
                <w:rFonts w:ascii="Verdana" w:hAnsi="Verdana"/>
                <w:sz w:val="20"/>
              </w:rPr>
              <w:t xml:space="preserve"> </w:t>
            </w:r>
            <w:r w:rsidRPr="001D5C1F">
              <w:rPr>
                <w:rFonts w:ascii="Verdana" w:hAnsi="Verdana"/>
                <w:sz w:val="20"/>
              </w:rPr>
              <w:t>Sie bedarf einer Rechtsgrundlage und eines Kredits.</w:t>
            </w:r>
          </w:p>
        </w:tc>
      </w:tr>
      <w:tr w:rsidR="00670DF6" w:rsidRPr="001D5C1F" w:rsidTr="00337B67">
        <w:tc>
          <w:tcPr>
            <w:tcW w:w="3708" w:type="dxa"/>
          </w:tcPr>
          <w:p w:rsidR="00670DF6" w:rsidRPr="001D5C1F" w:rsidRDefault="00670DF6" w:rsidP="001D5C1F">
            <w:pPr>
              <w:ind w:right="34"/>
              <w:rPr>
                <w:rFonts w:ascii="Verdana" w:hAnsi="Verdana"/>
                <w:b/>
                <w:sz w:val="20"/>
              </w:rPr>
            </w:pPr>
            <w:r w:rsidRPr="001D5C1F">
              <w:rPr>
                <w:rFonts w:ascii="Verdana" w:hAnsi="Verdana"/>
                <w:b/>
                <w:sz w:val="20"/>
              </w:rPr>
              <w:t>Ausserordentlicher Erfolg</w:t>
            </w:r>
          </w:p>
        </w:tc>
        <w:tc>
          <w:tcPr>
            <w:tcW w:w="5760" w:type="dxa"/>
          </w:tcPr>
          <w:p w:rsidR="00670DF6" w:rsidRPr="001D5C1F" w:rsidRDefault="00670DF6" w:rsidP="009F2C23">
            <w:pPr>
              <w:tabs>
                <w:tab w:val="left" w:pos="4674"/>
              </w:tabs>
              <w:spacing w:after="80"/>
              <w:ind w:left="-52" w:right="34"/>
              <w:rPr>
                <w:rFonts w:ascii="Verdana" w:hAnsi="Verdana"/>
                <w:sz w:val="20"/>
              </w:rPr>
            </w:pPr>
            <w:r w:rsidRPr="001D5C1F">
              <w:rPr>
                <w:rFonts w:ascii="Verdana" w:hAnsi="Verdana"/>
                <w:sz w:val="20"/>
              </w:rPr>
              <w:t xml:space="preserve">Der </w:t>
            </w:r>
            <w:r w:rsidRPr="009F2C23">
              <w:rPr>
                <w:rFonts w:ascii="Verdana" w:hAnsi="Verdana"/>
                <w:sz w:val="20"/>
              </w:rPr>
              <w:t>ausserordentliche Erfolg</w:t>
            </w:r>
            <w:r w:rsidRPr="001D5C1F">
              <w:rPr>
                <w:rFonts w:ascii="Verdana" w:hAnsi="Verdana"/>
                <w:sz w:val="20"/>
              </w:rPr>
              <w:t xml:space="preserve"> ist die Differenz zwischen ausserordentlichen Aufwendungen und ausserordentli</w:t>
            </w:r>
            <w:r w:rsidR="0061273C">
              <w:rPr>
                <w:rFonts w:ascii="Verdana" w:hAnsi="Verdana"/>
                <w:sz w:val="20"/>
              </w:rPr>
              <w:softHyphen/>
            </w:r>
            <w:r w:rsidRPr="001D5C1F">
              <w:rPr>
                <w:rFonts w:ascii="Verdana" w:hAnsi="Verdana"/>
                <w:sz w:val="20"/>
              </w:rPr>
              <w:t>chen Erträgen (Aufwand und Ertrag gelten als ausser</w:t>
            </w:r>
            <w:r w:rsidR="0061273C">
              <w:rPr>
                <w:rFonts w:ascii="Verdana" w:hAnsi="Verdana"/>
                <w:sz w:val="20"/>
              </w:rPr>
              <w:softHyphen/>
            </w:r>
            <w:r w:rsidRPr="001D5C1F">
              <w:rPr>
                <w:rFonts w:ascii="Verdana" w:hAnsi="Verdana"/>
                <w:sz w:val="20"/>
              </w:rPr>
              <w:t>ordentlich, wenn mit ihnen in keiner Art und Weise gerechnet werden konnte oder sie nicht zum operati</w:t>
            </w:r>
            <w:r w:rsidR="0061273C">
              <w:rPr>
                <w:rFonts w:ascii="Verdana" w:hAnsi="Verdana"/>
                <w:sz w:val="20"/>
              </w:rPr>
              <w:softHyphen/>
            </w:r>
            <w:r w:rsidRPr="001D5C1F">
              <w:rPr>
                <w:rFonts w:ascii="Verdana" w:hAnsi="Verdana"/>
                <w:sz w:val="20"/>
              </w:rPr>
              <w:t xml:space="preserve">ven Geschäft </w:t>
            </w:r>
            <w:r w:rsidR="009F2C23" w:rsidRPr="009F2C23">
              <w:rPr>
                <w:rFonts w:ascii="Verdana" w:hAnsi="Verdana"/>
                <w:sz w:val="20"/>
              </w:rPr>
              <w:t>Selbstfinanzierungsgrad Selbstfinanzierung in Prozenten der Nettoinvestitionen. Die</w:t>
            </w:r>
            <w:r w:rsidR="009F2C23">
              <w:rPr>
                <w:rFonts w:ascii="Verdana" w:hAnsi="Verdana"/>
                <w:sz w:val="20"/>
              </w:rPr>
              <w:t xml:space="preserve"> </w:t>
            </w:r>
            <w:r w:rsidR="009F2C23" w:rsidRPr="009F2C23">
              <w:rPr>
                <w:rFonts w:ascii="Verdana" w:hAnsi="Verdana"/>
                <w:sz w:val="20"/>
              </w:rPr>
              <w:t>Kennzahl zeigt, wie weit die Investitionen aus selbst erarbeiteten</w:t>
            </w:r>
            <w:r w:rsidR="009F2C23">
              <w:rPr>
                <w:rFonts w:ascii="Verdana" w:hAnsi="Verdana"/>
                <w:sz w:val="20"/>
              </w:rPr>
              <w:t xml:space="preserve"> </w:t>
            </w:r>
            <w:r w:rsidR="009F2C23" w:rsidRPr="009F2C23">
              <w:rPr>
                <w:rFonts w:ascii="Verdana" w:hAnsi="Verdana"/>
                <w:sz w:val="20"/>
              </w:rPr>
              <w:t>Mitteln bezahlt werden können.</w:t>
            </w:r>
          </w:p>
        </w:tc>
      </w:tr>
      <w:tr w:rsidR="00670DF6" w:rsidRPr="001D5C1F" w:rsidTr="00337B67">
        <w:tc>
          <w:tcPr>
            <w:tcW w:w="3708" w:type="dxa"/>
          </w:tcPr>
          <w:p w:rsidR="00670DF6" w:rsidRPr="001D5C1F" w:rsidRDefault="00670DF6" w:rsidP="001D5C1F">
            <w:pPr>
              <w:ind w:right="34"/>
              <w:rPr>
                <w:rFonts w:ascii="Verdana" w:hAnsi="Verdana"/>
                <w:b/>
                <w:sz w:val="20"/>
              </w:rPr>
            </w:pPr>
            <w:r w:rsidRPr="001D5C1F">
              <w:rPr>
                <w:rFonts w:ascii="Verdana" w:hAnsi="Verdana"/>
                <w:b/>
                <w:sz w:val="20"/>
              </w:rPr>
              <w:t>Beteiligung</w:t>
            </w:r>
          </w:p>
        </w:tc>
        <w:tc>
          <w:tcPr>
            <w:tcW w:w="5760" w:type="dxa"/>
          </w:tcPr>
          <w:p w:rsidR="00670DF6" w:rsidRPr="001D5C1F" w:rsidRDefault="00670DF6" w:rsidP="001D5C1F">
            <w:pPr>
              <w:spacing w:after="80"/>
              <w:ind w:left="-52" w:right="34"/>
              <w:rPr>
                <w:rFonts w:ascii="Verdana" w:hAnsi="Verdana"/>
                <w:sz w:val="20"/>
              </w:rPr>
            </w:pPr>
            <w:r w:rsidRPr="001D5C1F">
              <w:rPr>
                <w:rFonts w:ascii="Verdana" w:hAnsi="Verdana"/>
                <w:sz w:val="20"/>
              </w:rPr>
              <w:t xml:space="preserve">Mit </w:t>
            </w:r>
            <w:r w:rsidRPr="001D5C1F">
              <w:rPr>
                <w:rFonts w:ascii="Verdana" w:hAnsi="Verdana"/>
                <w:i/>
                <w:sz w:val="20"/>
              </w:rPr>
              <w:t>Beteiligungen</w:t>
            </w:r>
            <w:r w:rsidRPr="001D5C1F">
              <w:rPr>
                <w:rFonts w:ascii="Verdana" w:hAnsi="Verdana"/>
                <w:sz w:val="20"/>
              </w:rPr>
              <w:t xml:space="preserve"> im Sinne des HRM2 sind nicht nur reine kapitalmässige Beteiligungen gemeint, wie z.B. Gebäudeversicherungen oder Kantonalbanken, son</w:t>
            </w:r>
            <w:r w:rsidR="0061273C">
              <w:rPr>
                <w:rFonts w:ascii="Verdana" w:hAnsi="Verdana"/>
                <w:sz w:val="20"/>
              </w:rPr>
              <w:softHyphen/>
            </w:r>
            <w:r w:rsidRPr="001D5C1F">
              <w:rPr>
                <w:rFonts w:ascii="Verdana" w:hAnsi="Verdana"/>
                <w:sz w:val="20"/>
              </w:rPr>
              <w:t>dern auch Organisationen, an welche das Gemeinwe</w:t>
            </w:r>
            <w:r w:rsidR="0061273C">
              <w:rPr>
                <w:rFonts w:ascii="Verdana" w:hAnsi="Verdana"/>
                <w:sz w:val="20"/>
              </w:rPr>
              <w:softHyphen/>
            </w:r>
            <w:r w:rsidRPr="001D5C1F">
              <w:rPr>
                <w:rFonts w:ascii="Verdana" w:hAnsi="Verdana"/>
                <w:sz w:val="20"/>
              </w:rPr>
              <w:t>sen massgebliche Betriebsbeiträge bezahlt (wesentli</w:t>
            </w:r>
            <w:r w:rsidR="0061273C">
              <w:rPr>
                <w:rFonts w:ascii="Verdana" w:hAnsi="Verdana"/>
                <w:sz w:val="20"/>
              </w:rPr>
              <w:softHyphen/>
            </w:r>
            <w:r w:rsidRPr="001D5C1F">
              <w:rPr>
                <w:rFonts w:ascii="Verdana" w:hAnsi="Verdana"/>
                <w:sz w:val="20"/>
              </w:rPr>
              <w:t>che Finanzierung) oder welche es massgeblich beein</w:t>
            </w:r>
            <w:r w:rsidR="0061273C">
              <w:rPr>
                <w:rFonts w:ascii="Verdana" w:hAnsi="Verdana"/>
                <w:sz w:val="20"/>
              </w:rPr>
              <w:softHyphen/>
            </w:r>
            <w:r w:rsidRPr="001D5C1F">
              <w:rPr>
                <w:rFonts w:ascii="Verdana" w:hAnsi="Verdana"/>
                <w:sz w:val="20"/>
              </w:rPr>
              <w:t>flusst (wesentliche Steuerung).</w:t>
            </w:r>
            <w:r w:rsidR="00337B67" w:rsidRPr="001D5C1F">
              <w:rPr>
                <w:rFonts w:ascii="Verdana" w:hAnsi="Verdana"/>
                <w:sz w:val="20"/>
              </w:rPr>
              <w:t xml:space="preserve"> Der Beteiligungsspie</w:t>
            </w:r>
            <w:r w:rsidR="0061273C">
              <w:rPr>
                <w:rFonts w:ascii="Verdana" w:hAnsi="Verdana"/>
                <w:sz w:val="20"/>
              </w:rPr>
              <w:softHyphen/>
            </w:r>
            <w:r w:rsidR="00337B67" w:rsidRPr="001D5C1F">
              <w:rPr>
                <w:rFonts w:ascii="Verdana" w:hAnsi="Verdana"/>
                <w:sz w:val="20"/>
              </w:rPr>
              <w:t>gel wird im Anhang zur Rechnung publiziert.</w:t>
            </w:r>
          </w:p>
        </w:tc>
      </w:tr>
      <w:tr w:rsidR="00670DF6" w:rsidRPr="001D5C1F" w:rsidTr="00337B67">
        <w:tc>
          <w:tcPr>
            <w:tcW w:w="3708" w:type="dxa"/>
          </w:tcPr>
          <w:p w:rsidR="00670DF6" w:rsidRPr="001D5C1F" w:rsidRDefault="00670DF6" w:rsidP="001D5C1F">
            <w:pPr>
              <w:ind w:right="34"/>
              <w:rPr>
                <w:rFonts w:ascii="Verdana" w:hAnsi="Verdana"/>
                <w:b/>
                <w:sz w:val="20"/>
              </w:rPr>
            </w:pPr>
            <w:r w:rsidRPr="001D5C1F">
              <w:rPr>
                <w:rFonts w:ascii="Verdana" w:hAnsi="Verdana"/>
                <w:b/>
                <w:sz w:val="20"/>
              </w:rPr>
              <w:t>Bewertungsgrundsätze</w:t>
            </w:r>
          </w:p>
        </w:tc>
        <w:tc>
          <w:tcPr>
            <w:tcW w:w="5760" w:type="dxa"/>
          </w:tcPr>
          <w:p w:rsidR="00670DF6" w:rsidRPr="001D5C1F" w:rsidRDefault="00670DF6" w:rsidP="001D5C1F">
            <w:pPr>
              <w:spacing w:after="80"/>
              <w:ind w:left="-52" w:right="34"/>
              <w:rPr>
                <w:rFonts w:ascii="Verdana" w:hAnsi="Verdana"/>
                <w:sz w:val="20"/>
              </w:rPr>
            </w:pPr>
            <w:r w:rsidRPr="001D5C1F">
              <w:rPr>
                <w:rFonts w:ascii="Verdana" w:hAnsi="Verdana"/>
                <w:i/>
                <w:sz w:val="20"/>
              </w:rPr>
              <w:t>Bewertungsgrundsätze</w:t>
            </w:r>
            <w:r w:rsidRPr="001D5C1F">
              <w:rPr>
                <w:rFonts w:ascii="Verdana" w:hAnsi="Verdana"/>
                <w:sz w:val="20"/>
              </w:rPr>
              <w:t xml:space="preserve"> sind die Grundsätze, nach denen in der Rechnungslegung Bilanzpositionen bewertet werden. Eine Bewertung kann z.B. nach dem Nominalwert, nach dem Verkehrswert oder nach dem Anschaffungskostenwert vorgenommen werden.</w:t>
            </w:r>
          </w:p>
        </w:tc>
      </w:tr>
      <w:tr w:rsidR="00670DF6" w:rsidRPr="001D5C1F" w:rsidTr="00337B67">
        <w:tc>
          <w:tcPr>
            <w:tcW w:w="3708" w:type="dxa"/>
          </w:tcPr>
          <w:p w:rsidR="00670DF6" w:rsidRPr="001D5C1F" w:rsidRDefault="00670DF6" w:rsidP="001D5C1F">
            <w:pPr>
              <w:ind w:right="79"/>
              <w:rPr>
                <w:rFonts w:ascii="Verdana" w:hAnsi="Verdana"/>
                <w:b/>
                <w:sz w:val="20"/>
              </w:rPr>
            </w:pPr>
            <w:r w:rsidRPr="001D5C1F">
              <w:rPr>
                <w:rFonts w:ascii="Verdana" w:hAnsi="Verdana"/>
                <w:b/>
                <w:sz w:val="20"/>
              </w:rPr>
              <w:t>Bilanz</w:t>
            </w:r>
          </w:p>
        </w:tc>
        <w:tc>
          <w:tcPr>
            <w:tcW w:w="5760" w:type="dxa"/>
          </w:tcPr>
          <w:p w:rsidR="00670DF6" w:rsidRPr="001D5C1F" w:rsidRDefault="00670DF6" w:rsidP="001D5C1F">
            <w:pPr>
              <w:spacing w:after="80"/>
              <w:ind w:left="-52" w:right="34"/>
              <w:rPr>
                <w:rFonts w:ascii="Verdana" w:hAnsi="Verdana"/>
                <w:sz w:val="20"/>
              </w:rPr>
            </w:pPr>
            <w:r w:rsidRPr="001D5C1F">
              <w:rPr>
                <w:rFonts w:ascii="Verdana" w:hAnsi="Verdana"/>
                <w:sz w:val="20"/>
              </w:rPr>
              <w:t>Sie ist eine Aufstellung von Herkunft und Verwendung des Kapitals. Auf der linken Seite sind die Vermögens</w:t>
            </w:r>
            <w:r w:rsidR="0061273C">
              <w:rPr>
                <w:rFonts w:ascii="Verdana" w:hAnsi="Verdana"/>
                <w:sz w:val="20"/>
              </w:rPr>
              <w:softHyphen/>
            </w:r>
            <w:r w:rsidRPr="001D5C1F">
              <w:rPr>
                <w:rFonts w:ascii="Verdana" w:hAnsi="Verdana"/>
                <w:sz w:val="20"/>
              </w:rPr>
              <w:t>werte aufgeführt (Verwendung), auf der rechten Seite das Fremdkapital und das Eigenkapital (Herkunft).</w:t>
            </w:r>
          </w:p>
        </w:tc>
      </w:tr>
      <w:tr w:rsidR="00670DF6" w:rsidRPr="001D5C1F" w:rsidTr="00337B67">
        <w:tc>
          <w:tcPr>
            <w:tcW w:w="3708" w:type="dxa"/>
          </w:tcPr>
          <w:p w:rsidR="00670DF6" w:rsidRPr="001D5C1F" w:rsidRDefault="00670DF6" w:rsidP="001D5C1F">
            <w:pPr>
              <w:ind w:right="34"/>
              <w:rPr>
                <w:rFonts w:ascii="Verdana" w:hAnsi="Verdana"/>
                <w:b/>
                <w:sz w:val="20"/>
              </w:rPr>
            </w:pPr>
            <w:r w:rsidRPr="001D5C1F">
              <w:rPr>
                <w:rFonts w:ascii="Verdana" w:hAnsi="Verdana"/>
                <w:b/>
                <w:sz w:val="20"/>
              </w:rPr>
              <w:t>Bilanzstichtag</w:t>
            </w:r>
          </w:p>
        </w:tc>
        <w:tc>
          <w:tcPr>
            <w:tcW w:w="5760" w:type="dxa"/>
          </w:tcPr>
          <w:p w:rsidR="00670DF6" w:rsidRPr="001D5C1F" w:rsidRDefault="00670DF6" w:rsidP="001D5C1F">
            <w:pPr>
              <w:spacing w:after="80"/>
              <w:ind w:left="-52" w:right="34"/>
              <w:rPr>
                <w:rFonts w:ascii="Verdana" w:hAnsi="Verdana"/>
                <w:sz w:val="20"/>
              </w:rPr>
            </w:pPr>
            <w:r w:rsidRPr="001D5C1F">
              <w:rPr>
                <w:rFonts w:ascii="Verdana" w:hAnsi="Verdana"/>
                <w:sz w:val="20"/>
              </w:rPr>
              <w:t>Der Bilanzstichtag ist derjenige Tag, an dem die Bilanz erhoben wird.</w:t>
            </w:r>
          </w:p>
        </w:tc>
      </w:tr>
      <w:tr w:rsidR="00670DF6" w:rsidRPr="001D5C1F" w:rsidTr="00337B67">
        <w:tc>
          <w:tcPr>
            <w:tcW w:w="3708" w:type="dxa"/>
          </w:tcPr>
          <w:p w:rsidR="00670DF6" w:rsidRPr="001D5C1F" w:rsidRDefault="00670DF6" w:rsidP="001D5C1F">
            <w:pPr>
              <w:ind w:right="34"/>
              <w:rPr>
                <w:rFonts w:ascii="Verdana" w:hAnsi="Verdana"/>
                <w:b/>
                <w:sz w:val="20"/>
              </w:rPr>
            </w:pPr>
            <w:r w:rsidRPr="001D5C1F">
              <w:rPr>
                <w:rFonts w:ascii="Verdana" w:hAnsi="Verdana"/>
                <w:b/>
                <w:sz w:val="20"/>
              </w:rPr>
              <w:t>Bruttodarstellung</w:t>
            </w:r>
          </w:p>
        </w:tc>
        <w:tc>
          <w:tcPr>
            <w:tcW w:w="5760" w:type="dxa"/>
          </w:tcPr>
          <w:p w:rsidR="00670DF6" w:rsidRPr="001D5C1F" w:rsidRDefault="00670DF6" w:rsidP="001D5C1F">
            <w:pPr>
              <w:spacing w:after="80"/>
              <w:ind w:left="-52" w:right="34"/>
              <w:rPr>
                <w:rFonts w:ascii="Verdana" w:hAnsi="Verdana"/>
                <w:sz w:val="20"/>
              </w:rPr>
            </w:pPr>
            <w:r w:rsidRPr="001D5C1F">
              <w:rPr>
                <w:rFonts w:ascii="Verdana" w:hAnsi="Verdana"/>
                <w:sz w:val="20"/>
              </w:rPr>
              <w:t xml:space="preserve">Einen Wert </w:t>
            </w:r>
            <w:r w:rsidRPr="001D5C1F">
              <w:rPr>
                <w:rFonts w:ascii="Verdana" w:hAnsi="Verdana"/>
                <w:i/>
                <w:sz w:val="20"/>
              </w:rPr>
              <w:t>brutto</w:t>
            </w:r>
            <w:r w:rsidRPr="001D5C1F">
              <w:rPr>
                <w:rFonts w:ascii="Verdana" w:hAnsi="Verdana"/>
                <w:sz w:val="20"/>
              </w:rPr>
              <w:t xml:space="preserve"> darzustellen bedeutet, ihn als Ganzes ohne Verrechnung von Aufwendungen und Erträgen, darzustellen. </w:t>
            </w:r>
          </w:p>
        </w:tc>
      </w:tr>
      <w:tr w:rsidR="00670DF6" w:rsidRPr="001D5C1F" w:rsidTr="00337B67">
        <w:tc>
          <w:tcPr>
            <w:tcW w:w="3708" w:type="dxa"/>
          </w:tcPr>
          <w:p w:rsidR="00670DF6" w:rsidRPr="001D5C1F" w:rsidRDefault="00670DF6" w:rsidP="001D5C1F">
            <w:pPr>
              <w:ind w:right="34"/>
              <w:rPr>
                <w:rFonts w:ascii="Verdana" w:hAnsi="Verdana"/>
                <w:b/>
                <w:sz w:val="20"/>
              </w:rPr>
            </w:pPr>
            <w:r w:rsidRPr="001D5C1F">
              <w:rPr>
                <w:rFonts w:ascii="Verdana" w:hAnsi="Verdana"/>
                <w:b/>
                <w:sz w:val="20"/>
              </w:rPr>
              <w:t>Budget</w:t>
            </w:r>
          </w:p>
        </w:tc>
        <w:tc>
          <w:tcPr>
            <w:tcW w:w="5760" w:type="dxa"/>
          </w:tcPr>
          <w:p w:rsidR="00670DF6" w:rsidRPr="001D5C1F" w:rsidRDefault="00670DF6" w:rsidP="001D5C1F">
            <w:pPr>
              <w:spacing w:after="80"/>
              <w:ind w:left="-52" w:right="34"/>
              <w:rPr>
                <w:rFonts w:ascii="Verdana" w:hAnsi="Verdana"/>
                <w:sz w:val="20"/>
              </w:rPr>
            </w:pPr>
            <w:r w:rsidRPr="001D5C1F">
              <w:rPr>
                <w:rFonts w:ascii="Verdana" w:hAnsi="Verdana"/>
                <w:sz w:val="20"/>
              </w:rPr>
              <w:t xml:space="preserve">Das </w:t>
            </w:r>
            <w:r w:rsidRPr="001D5C1F">
              <w:rPr>
                <w:rFonts w:ascii="Verdana" w:hAnsi="Verdana"/>
                <w:i/>
                <w:sz w:val="20"/>
              </w:rPr>
              <w:t>Budget</w:t>
            </w:r>
            <w:r w:rsidRPr="001D5C1F">
              <w:rPr>
                <w:rFonts w:ascii="Verdana" w:hAnsi="Verdana"/>
                <w:sz w:val="20"/>
              </w:rPr>
              <w:t xml:space="preserve"> ist die zusammenfassende und vollstän</w:t>
            </w:r>
            <w:r w:rsidR="0061273C">
              <w:rPr>
                <w:rFonts w:ascii="Verdana" w:hAnsi="Verdana"/>
                <w:sz w:val="20"/>
              </w:rPr>
              <w:softHyphen/>
            </w:r>
            <w:r w:rsidRPr="001D5C1F">
              <w:rPr>
                <w:rFonts w:ascii="Verdana" w:hAnsi="Verdana"/>
                <w:sz w:val="20"/>
              </w:rPr>
              <w:t>dige Darstellung der geplanten finanziellen Vorgänge des Gemeinwesens in einer bestimmten Planungsperi</w:t>
            </w:r>
            <w:r w:rsidR="0061273C">
              <w:rPr>
                <w:rFonts w:ascii="Verdana" w:hAnsi="Verdana"/>
                <w:sz w:val="20"/>
              </w:rPr>
              <w:softHyphen/>
            </w:r>
            <w:r w:rsidRPr="001D5C1F">
              <w:rPr>
                <w:rFonts w:ascii="Verdana" w:hAnsi="Verdana"/>
                <w:sz w:val="20"/>
              </w:rPr>
              <w:t>ode</w:t>
            </w:r>
            <w:r w:rsidR="0061273C" w:rsidRPr="001D5C1F">
              <w:rPr>
                <w:rFonts w:ascii="Verdana" w:hAnsi="Verdana"/>
                <w:sz w:val="20"/>
              </w:rPr>
              <w:t>.</w:t>
            </w:r>
          </w:p>
        </w:tc>
      </w:tr>
      <w:tr w:rsidR="00670DF6" w:rsidRPr="001D5C1F" w:rsidTr="00337B67">
        <w:tc>
          <w:tcPr>
            <w:tcW w:w="3708" w:type="dxa"/>
          </w:tcPr>
          <w:p w:rsidR="00670DF6" w:rsidRPr="001D5C1F" w:rsidRDefault="00670DF6" w:rsidP="001D5C1F">
            <w:pPr>
              <w:ind w:right="34"/>
              <w:rPr>
                <w:rFonts w:ascii="Verdana" w:hAnsi="Verdana"/>
                <w:b/>
                <w:sz w:val="20"/>
              </w:rPr>
            </w:pPr>
            <w:r w:rsidRPr="001D5C1F">
              <w:rPr>
                <w:rFonts w:ascii="Verdana" w:hAnsi="Verdana"/>
                <w:b/>
                <w:sz w:val="20"/>
              </w:rPr>
              <w:t>Cash Drain</w:t>
            </w:r>
          </w:p>
        </w:tc>
        <w:tc>
          <w:tcPr>
            <w:tcW w:w="5760" w:type="dxa"/>
          </w:tcPr>
          <w:p w:rsidR="00670DF6" w:rsidRPr="001D5C1F" w:rsidRDefault="00670DF6" w:rsidP="001D5C1F">
            <w:pPr>
              <w:spacing w:after="80"/>
              <w:ind w:left="-52" w:right="34"/>
              <w:rPr>
                <w:rFonts w:ascii="Verdana" w:hAnsi="Verdana"/>
                <w:sz w:val="20"/>
              </w:rPr>
            </w:pPr>
            <w:r w:rsidRPr="001D5C1F">
              <w:rPr>
                <w:rFonts w:ascii="Verdana" w:hAnsi="Verdana"/>
                <w:sz w:val="20"/>
              </w:rPr>
              <w:t xml:space="preserve">Der </w:t>
            </w:r>
            <w:r w:rsidRPr="001D5C1F">
              <w:rPr>
                <w:rFonts w:ascii="Verdana" w:hAnsi="Verdana"/>
                <w:i/>
                <w:sz w:val="20"/>
              </w:rPr>
              <w:t>Cash Drain</w:t>
            </w:r>
            <w:r w:rsidRPr="001D5C1F">
              <w:rPr>
                <w:rFonts w:ascii="Verdana" w:hAnsi="Verdana"/>
                <w:sz w:val="20"/>
              </w:rPr>
              <w:t xml:space="preserve"> ist ein ausschliesslich negativer Cash Flow (Abgänge von Geld und geldnahen Mitteln).</w:t>
            </w:r>
          </w:p>
        </w:tc>
      </w:tr>
      <w:tr w:rsidR="00670DF6" w:rsidRPr="001D5C1F" w:rsidTr="00337B67">
        <w:tc>
          <w:tcPr>
            <w:tcW w:w="3708" w:type="dxa"/>
          </w:tcPr>
          <w:p w:rsidR="00670DF6" w:rsidRPr="001D5C1F" w:rsidRDefault="00670DF6" w:rsidP="001D5C1F">
            <w:pPr>
              <w:ind w:right="34"/>
              <w:rPr>
                <w:rFonts w:ascii="Verdana" w:hAnsi="Verdana"/>
                <w:b/>
                <w:sz w:val="20"/>
              </w:rPr>
            </w:pPr>
            <w:r w:rsidRPr="001D5C1F">
              <w:rPr>
                <w:rFonts w:ascii="Verdana" w:hAnsi="Verdana"/>
                <w:b/>
                <w:sz w:val="20"/>
              </w:rPr>
              <w:t>Cash Flow</w:t>
            </w:r>
          </w:p>
        </w:tc>
        <w:tc>
          <w:tcPr>
            <w:tcW w:w="5760" w:type="dxa"/>
          </w:tcPr>
          <w:p w:rsidR="00670DF6" w:rsidRPr="001D5C1F" w:rsidRDefault="00670DF6" w:rsidP="001D5C1F">
            <w:pPr>
              <w:spacing w:after="80"/>
              <w:ind w:left="-52" w:right="34"/>
              <w:rPr>
                <w:rFonts w:ascii="Verdana" w:hAnsi="Verdana"/>
                <w:sz w:val="20"/>
              </w:rPr>
            </w:pPr>
            <w:r w:rsidRPr="001D5C1F">
              <w:rPr>
                <w:rFonts w:ascii="Verdana" w:hAnsi="Verdana"/>
                <w:sz w:val="20"/>
              </w:rPr>
              <w:t xml:space="preserve">Der </w:t>
            </w:r>
            <w:r w:rsidRPr="001D5C1F">
              <w:rPr>
                <w:rFonts w:ascii="Verdana" w:hAnsi="Verdana"/>
                <w:i/>
                <w:sz w:val="20"/>
              </w:rPr>
              <w:t>Cash Flow</w:t>
            </w:r>
            <w:r w:rsidRPr="001D5C1F">
              <w:rPr>
                <w:rFonts w:ascii="Verdana" w:hAnsi="Verdana"/>
                <w:sz w:val="20"/>
              </w:rPr>
              <w:t xml:space="preserve"> bezeichnet die Zu- und Abgänge an Geld und geldnahen Mitteln.</w:t>
            </w:r>
          </w:p>
        </w:tc>
      </w:tr>
      <w:tr w:rsidR="00ED0525" w:rsidRPr="001D5C1F" w:rsidTr="00171B88">
        <w:tc>
          <w:tcPr>
            <w:tcW w:w="3708" w:type="dxa"/>
          </w:tcPr>
          <w:p w:rsidR="00ED0525" w:rsidRPr="001D5C1F" w:rsidRDefault="00ED0525" w:rsidP="001D5C1F">
            <w:pPr>
              <w:ind w:right="34"/>
              <w:rPr>
                <w:rFonts w:ascii="Verdana" w:hAnsi="Verdana"/>
                <w:b/>
                <w:sz w:val="20"/>
              </w:rPr>
            </w:pPr>
            <w:r w:rsidRPr="001D5C1F">
              <w:rPr>
                <w:rFonts w:ascii="Verdana" w:hAnsi="Verdana"/>
                <w:b/>
                <w:sz w:val="20"/>
              </w:rPr>
              <w:t>Durchlaufende Beiträge</w:t>
            </w:r>
          </w:p>
        </w:tc>
        <w:tc>
          <w:tcPr>
            <w:tcW w:w="5760" w:type="dxa"/>
          </w:tcPr>
          <w:p w:rsidR="00ED0525" w:rsidRPr="001D5C1F" w:rsidRDefault="00DF4B20" w:rsidP="001D5C1F">
            <w:pPr>
              <w:spacing w:after="80"/>
              <w:ind w:left="-52" w:right="34"/>
              <w:rPr>
                <w:rFonts w:ascii="Verdana" w:hAnsi="Verdana"/>
                <w:sz w:val="20"/>
                <w:lang w:val="de-DE"/>
              </w:rPr>
            </w:pPr>
            <w:r w:rsidRPr="001D5C1F">
              <w:rPr>
                <w:rFonts w:ascii="Verdana" w:hAnsi="Verdana"/>
                <w:i/>
                <w:sz w:val="20"/>
              </w:rPr>
              <w:t>Laufende Beiträge</w:t>
            </w:r>
            <w:r w:rsidRPr="001D5C1F">
              <w:rPr>
                <w:rFonts w:ascii="Verdana" w:hAnsi="Verdana"/>
                <w:sz w:val="20"/>
              </w:rPr>
              <w:t>, die die Gemeinde von anderen Gemeinwesen zugunsten Dritter erhält und an diese weitergeben muss.</w:t>
            </w:r>
            <w:r w:rsidRPr="001D5C1F">
              <w:rPr>
                <w:rFonts w:ascii="Verdana" w:hAnsi="Verdana"/>
                <w:sz w:val="20"/>
                <w:lang w:val="de-DE"/>
              </w:rPr>
              <w:t xml:space="preserve"> </w:t>
            </w:r>
          </w:p>
        </w:tc>
      </w:tr>
      <w:tr w:rsidR="00ED0525" w:rsidRPr="001D5C1F" w:rsidTr="00171B88">
        <w:tc>
          <w:tcPr>
            <w:tcW w:w="3708" w:type="dxa"/>
          </w:tcPr>
          <w:p w:rsidR="00ED0525" w:rsidRPr="001D5C1F" w:rsidRDefault="00ED0525" w:rsidP="001D5C1F">
            <w:pPr>
              <w:ind w:right="34"/>
              <w:rPr>
                <w:rFonts w:ascii="Verdana" w:hAnsi="Verdana"/>
                <w:b/>
                <w:sz w:val="20"/>
              </w:rPr>
            </w:pPr>
            <w:r w:rsidRPr="001D5C1F">
              <w:rPr>
                <w:rFonts w:ascii="Verdana" w:hAnsi="Verdana"/>
                <w:b/>
                <w:sz w:val="20"/>
              </w:rPr>
              <w:t xml:space="preserve">Eigene Beiträge </w:t>
            </w:r>
          </w:p>
        </w:tc>
        <w:tc>
          <w:tcPr>
            <w:tcW w:w="5760" w:type="dxa"/>
          </w:tcPr>
          <w:p w:rsidR="00ED0525" w:rsidRPr="001D5C1F" w:rsidRDefault="00DF4B20" w:rsidP="001D5C1F">
            <w:pPr>
              <w:spacing w:after="80"/>
              <w:ind w:left="-52" w:right="34"/>
              <w:rPr>
                <w:rFonts w:ascii="Verdana" w:hAnsi="Verdana"/>
                <w:sz w:val="20"/>
              </w:rPr>
            </w:pPr>
            <w:r w:rsidRPr="001D5C1F">
              <w:rPr>
                <w:rFonts w:ascii="Verdana" w:hAnsi="Verdana"/>
                <w:i/>
                <w:sz w:val="20"/>
              </w:rPr>
              <w:t>Eigene Beiträge</w:t>
            </w:r>
            <w:r w:rsidRPr="001D5C1F">
              <w:rPr>
                <w:rFonts w:ascii="Verdana" w:hAnsi="Verdana"/>
                <w:sz w:val="20"/>
              </w:rPr>
              <w:t xml:space="preserve"> sind nichtrückzahlbare Leistungen aus eigenen Mitteln für Konsumzwecke, bei denen der Empfänger keine direkte Gegenleistung für den Betrag Entrichtenden erbringt. Dazu gehören namentlich Be</w:t>
            </w:r>
            <w:r w:rsidR="0061273C">
              <w:rPr>
                <w:rFonts w:ascii="Verdana" w:hAnsi="Verdana"/>
                <w:sz w:val="20"/>
              </w:rPr>
              <w:softHyphen/>
            </w:r>
            <w:r w:rsidRPr="001D5C1F">
              <w:rPr>
                <w:rFonts w:ascii="Verdana" w:hAnsi="Verdana"/>
                <w:sz w:val="20"/>
              </w:rPr>
              <w:t>triebs- und Defizitbeiträge sowie Sozialleistungen an private Haushalte.</w:t>
            </w:r>
          </w:p>
        </w:tc>
      </w:tr>
      <w:tr w:rsidR="00670DF6" w:rsidRPr="001D5C1F" w:rsidTr="009F2C23">
        <w:trPr>
          <w:trHeight w:val="1326"/>
        </w:trPr>
        <w:tc>
          <w:tcPr>
            <w:tcW w:w="3708" w:type="dxa"/>
          </w:tcPr>
          <w:p w:rsidR="00670DF6" w:rsidRPr="001D5C1F" w:rsidRDefault="00670DF6" w:rsidP="001D5C1F">
            <w:pPr>
              <w:ind w:right="34"/>
              <w:rPr>
                <w:rFonts w:ascii="Verdana" w:hAnsi="Verdana"/>
                <w:b/>
                <w:sz w:val="20"/>
              </w:rPr>
            </w:pPr>
            <w:r w:rsidRPr="001D5C1F">
              <w:rPr>
                <w:rFonts w:ascii="Verdana" w:hAnsi="Verdana"/>
                <w:b/>
                <w:sz w:val="20"/>
              </w:rPr>
              <w:lastRenderedPageBreak/>
              <w:t>Eigenkapital</w:t>
            </w:r>
          </w:p>
        </w:tc>
        <w:tc>
          <w:tcPr>
            <w:tcW w:w="5760" w:type="dxa"/>
          </w:tcPr>
          <w:p w:rsidR="00670DF6" w:rsidRPr="001D5C1F" w:rsidRDefault="00670DF6" w:rsidP="001D5C1F">
            <w:pPr>
              <w:spacing w:after="80"/>
              <w:ind w:left="-52" w:right="34"/>
              <w:rPr>
                <w:rFonts w:ascii="Verdana" w:hAnsi="Verdana"/>
                <w:sz w:val="20"/>
              </w:rPr>
            </w:pPr>
            <w:r w:rsidRPr="001D5C1F">
              <w:rPr>
                <w:rFonts w:ascii="Verdana" w:hAnsi="Verdana"/>
                <w:sz w:val="20"/>
              </w:rPr>
              <w:t xml:space="preserve">In der Privatwirtschaft ist das </w:t>
            </w:r>
            <w:r w:rsidRPr="001D5C1F">
              <w:rPr>
                <w:rFonts w:ascii="Verdana" w:hAnsi="Verdana"/>
                <w:i/>
                <w:sz w:val="20"/>
              </w:rPr>
              <w:t>Eigenkapital</w:t>
            </w:r>
            <w:r w:rsidRPr="001D5C1F">
              <w:rPr>
                <w:rFonts w:ascii="Verdana" w:hAnsi="Verdana"/>
                <w:sz w:val="20"/>
              </w:rPr>
              <w:t xml:space="preserve"> derjenige Teil des Kapitals, welcher in einem Unternehmen dem Geschäftseigentümer selber gehört, also nicht fremdfinanziert wurde. Bei einem öffentlichen Gemeinwesen ist es derjenige Teil auf der Passivseite der Bilanz, welcher nicht Fremdkapital ist. Das Eigenkapital kann auch negativ sein (Bilanzfehlbetrag). </w:t>
            </w:r>
          </w:p>
        </w:tc>
      </w:tr>
      <w:tr w:rsidR="00670DF6" w:rsidRPr="001D5C1F" w:rsidTr="00337B67">
        <w:tc>
          <w:tcPr>
            <w:tcW w:w="3708" w:type="dxa"/>
          </w:tcPr>
          <w:p w:rsidR="00670DF6" w:rsidRPr="001D5C1F" w:rsidRDefault="00670DF6" w:rsidP="001D5C1F">
            <w:pPr>
              <w:ind w:right="34"/>
              <w:rPr>
                <w:rFonts w:ascii="Verdana" w:hAnsi="Verdana"/>
                <w:b/>
                <w:sz w:val="20"/>
              </w:rPr>
            </w:pPr>
            <w:r w:rsidRPr="001D5C1F">
              <w:rPr>
                <w:rFonts w:ascii="Verdana" w:hAnsi="Verdana"/>
                <w:b/>
                <w:sz w:val="20"/>
              </w:rPr>
              <w:t>Eigenkapitalnachweis</w:t>
            </w:r>
          </w:p>
        </w:tc>
        <w:tc>
          <w:tcPr>
            <w:tcW w:w="5760" w:type="dxa"/>
          </w:tcPr>
          <w:p w:rsidR="00670DF6" w:rsidRPr="001D5C1F" w:rsidRDefault="00670DF6" w:rsidP="001D5C1F">
            <w:pPr>
              <w:spacing w:after="80"/>
              <w:ind w:left="-52" w:right="34"/>
              <w:rPr>
                <w:rFonts w:ascii="Verdana" w:hAnsi="Verdana"/>
                <w:sz w:val="20"/>
              </w:rPr>
            </w:pPr>
            <w:r w:rsidRPr="001D5C1F">
              <w:rPr>
                <w:rFonts w:ascii="Verdana" w:hAnsi="Verdana"/>
                <w:sz w:val="20"/>
              </w:rPr>
              <w:t xml:space="preserve">Der </w:t>
            </w:r>
            <w:r w:rsidRPr="001D5C1F">
              <w:rPr>
                <w:rFonts w:ascii="Verdana" w:hAnsi="Verdana"/>
                <w:i/>
                <w:sz w:val="20"/>
              </w:rPr>
              <w:t>Eigenkapitalnachweis</w:t>
            </w:r>
            <w:r w:rsidRPr="001D5C1F">
              <w:rPr>
                <w:rFonts w:ascii="Verdana" w:hAnsi="Verdana"/>
                <w:sz w:val="20"/>
              </w:rPr>
              <w:t xml:space="preserve"> ist eine Rechnung, in der die Ursachen der Veränderungen in einzelnen Bestandteilen des Eigenkapitals (Reserven, Fonds, Eigenkapital im engeren Sinne) aufgezeigt werden. </w:t>
            </w:r>
          </w:p>
        </w:tc>
      </w:tr>
      <w:tr w:rsidR="00670DF6" w:rsidRPr="001D5C1F" w:rsidTr="00337B67">
        <w:tc>
          <w:tcPr>
            <w:tcW w:w="3708" w:type="dxa"/>
          </w:tcPr>
          <w:p w:rsidR="00670DF6" w:rsidRPr="001D5C1F" w:rsidRDefault="00670DF6" w:rsidP="001D5C1F">
            <w:pPr>
              <w:ind w:right="79"/>
              <w:rPr>
                <w:rFonts w:ascii="Verdana" w:hAnsi="Verdana"/>
                <w:b/>
                <w:sz w:val="20"/>
              </w:rPr>
            </w:pPr>
            <w:r w:rsidRPr="001D5C1F">
              <w:rPr>
                <w:rFonts w:ascii="Verdana" w:hAnsi="Verdana"/>
                <w:b/>
                <w:sz w:val="20"/>
              </w:rPr>
              <w:t>Einnahmen</w:t>
            </w:r>
          </w:p>
        </w:tc>
        <w:tc>
          <w:tcPr>
            <w:tcW w:w="5760" w:type="dxa"/>
          </w:tcPr>
          <w:p w:rsidR="00670DF6" w:rsidRPr="001D5C1F" w:rsidRDefault="00670DF6" w:rsidP="001D5C1F">
            <w:pPr>
              <w:spacing w:after="80"/>
              <w:ind w:left="-52" w:right="34"/>
              <w:rPr>
                <w:rFonts w:ascii="Verdana" w:hAnsi="Verdana"/>
                <w:sz w:val="20"/>
              </w:rPr>
            </w:pPr>
            <w:r w:rsidRPr="001D5C1F">
              <w:rPr>
                <w:rFonts w:ascii="Verdana" w:hAnsi="Verdana"/>
                <w:sz w:val="20"/>
              </w:rPr>
              <w:t xml:space="preserve">Im HRM2 sind </w:t>
            </w:r>
            <w:r w:rsidRPr="001D5C1F">
              <w:rPr>
                <w:rFonts w:ascii="Verdana" w:hAnsi="Verdana"/>
                <w:i/>
                <w:sz w:val="20"/>
              </w:rPr>
              <w:t>Einnahmen</w:t>
            </w:r>
            <w:r w:rsidRPr="001D5C1F">
              <w:rPr>
                <w:rFonts w:ascii="Verdana" w:hAnsi="Verdana"/>
                <w:sz w:val="20"/>
              </w:rPr>
              <w:t xml:space="preserve"> definiert als Zahlungen Dritter, die das Vermögen vermehren oder die als Zahlung eines Dritten oder als interne Abgeltung in Bezug auf das Verwaltungsvermögen erfolgen.</w:t>
            </w:r>
          </w:p>
        </w:tc>
      </w:tr>
      <w:tr w:rsidR="00B069AF" w:rsidRPr="001D5C1F" w:rsidTr="00171B88">
        <w:tc>
          <w:tcPr>
            <w:tcW w:w="3708" w:type="dxa"/>
          </w:tcPr>
          <w:p w:rsidR="00B069AF" w:rsidRPr="001D5C1F" w:rsidRDefault="00B069AF" w:rsidP="001D5C1F">
            <w:pPr>
              <w:ind w:right="34"/>
              <w:rPr>
                <w:rFonts w:ascii="Verdana" w:hAnsi="Verdana"/>
                <w:b/>
                <w:sz w:val="20"/>
              </w:rPr>
            </w:pPr>
            <w:r w:rsidRPr="001D5C1F">
              <w:rPr>
                <w:rFonts w:ascii="Verdana" w:hAnsi="Verdana"/>
                <w:b/>
                <w:sz w:val="20"/>
              </w:rPr>
              <w:t>Entschädigung an Gemeinwesen</w:t>
            </w:r>
          </w:p>
        </w:tc>
        <w:tc>
          <w:tcPr>
            <w:tcW w:w="5760" w:type="dxa"/>
          </w:tcPr>
          <w:p w:rsidR="00B069AF" w:rsidRPr="001D5C1F" w:rsidRDefault="00DF4B20" w:rsidP="001D5C1F">
            <w:pPr>
              <w:spacing w:after="80"/>
              <w:ind w:left="-52" w:right="34"/>
              <w:rPr>
                <w:rFonts w:ascii="Verdana" w:hAnsi="Verdana"/>
                <w:sz w:val="20"/>
              </w:rPr>
            </w:pPr>
            <w:r w:rsidRPr="001D5C1F">
              <w:rPr>
                <w:rFonts w:ascii="Verdana" w:hAnsi="Verdana"/>
                <w:i/>
                <w:sz w:val="20"/>
                <w:lang w:val="de-DE"/>
              </w:rPr>
              <w:t>Entschädigungen an ein Gemeinwesen</w:t>
            </w:r>
            <w:r w:rsidRPr="001D5C1F">
              <w:rPr>
                <w:rFonts w:ascii="Verdana" w:hAnsi="Verdana"/>
                <w:sz w:val="20"/>
                <w:lang w:val="de-DE"/>
              </w:rPr>
              <w:t>, das für ein anderes ganz oder teilweise eine Aufgabe erfüllt, die einem öffentlichen Zweck dient und nach der gegebenen Aufgabenteilung Sache des eigenen Gemeinwesens ist. Die Entschädigung wird aufgrund der Kosten der Aufgabe bemessen</w:t>
            </w:r>
          </w:p>
        </w:tc>
      </w:tr>
      <w:tr w:rsidR="00670DF6" w:rsidRPr="001D5C1F" w:rsidTr="00337B67">
        <w:tc>
          <w:tcPr>
            <w:tcW w:w="3708" w:type="dxa"/>
          </w:tcPr>
          <w:p w:rsidR="00670DF6" w:rsidRPr="001D5C1F" w:rsidRDefault="00670DF6" w:rsidP="001D5C1F">
            <w:pPr>
              <w:ind w:right="79"/>
              <w:rPr>
                <w:rFonts w:ascii="Verdana" w:hAnsi="Verdana"/>
                <w:b/>
                <w:sz w:val="20"/>
              </w:rPr>
            </w:pPr>
            <w:r w:rsidRPr="001D5C1F">
              <w:rPr>
                <w:rFonts w:ascii="Verdana" w:hAnsi="Verdana"/>
                <w:b/>
                <w:sz w:val="20"/>
              </w:rPr>
              <w:t>Erfolgsrechnung</w:t>
            </w:r>
          </w:p>
        </w:tc>
        <w:tc>
          <w:tcPr>
            <w:tcW w:w="5760" w:type="dxa"/>
          </w:tcPr>
          <w:p w:rsidR="00670DF6" w:rsidRPr="001D5C1F" w:rsidRDefault="00670DF6" w:rsidP="001D5C1F">
            <w:pPr>
              <w:spacing w:after="80"/>
              <w:ind w:left="-52" w:right="34"/>
              <w:rPr>
                <w:rFonts w:ascii="Verdana" w:hAnsi="Verdana"/>
                <w:sz w:val="20"/>
              </w:rPr>
            </w:pPr>
            <w:r w:rsidRPr="001D5C1F">
              <w:rPr>
                <w:rFonts w:ascii="Verdana" w:hAnsi="Verdana"/>
                <w:sz w:val="20"/>
              </w:rPr>
              <w:t xml:space="preserve">Die </w:t>
            </w:r>
            <w:r w:rsidRPr="001D5C1F">
              <w:rPr>
                <w:rFonts w:ascii="Verdana" w:hAnsi="Verdana"/>
                <w:i/>
                <w:sz w:val="20"/>
              </w:rPr>
              <w:t>Erfolgsrechnung</w:t>
            </w:r>
            <w:r w:rsidRPr="001D5C1F">
              <w:rPr>
                <w:rFonts w:ascii="Verdana" w:hAnsi="Verdana"/>
                <w:sz w:val="20"/>
              </w:rPr>
              <w:t xml:space="preserve"> stellt einander die Aufwendungen und Erträge gegenüber. Durch die Saldierung aller Erträge und Aufwendungen wird so der Erfolg einer Periode ermittelt.</w:t>
            </w:r>
          </w:p>
        </w:tc>
      </w:tr>
      <w:tr w:rsidR="00670DF6" w:rsidRPr="001D5C1F" w:rsidTr="00337B67">
        <w:tc>
          <w:tcPr>
            <w:tcW w:w="3708" w:type="dxa"/>
          </w:tcPr>
          <w:p w:rsidR="00670DF6" w:rsidRPr="001D5C1F" w:rsidRDefault="00670DF6" w:rsidP="001D5C1F">
            <w:pPr>
              <w:ind w:right="34"/>
              <w:rPr>
                <w:rFonts w:ascii="Verdana" w:hAnsi="Verdana"/>
                <w:b/>
                <w:sz w:val="20"/>
              </w:rPr>
            </w:pPr>
            <w:r w:rsidRPr="001D5C1F">
              <w:rPr>
                <w:rFonts w:ascii="Verdana" w:hAnsi="Verdana"/>
                <w:b/>
                <w:sz w:val="20"/>
              </w:rPr>
              <w:t>Ertrag</w:t>
            </w:r>
          </w:p>
        </w:tc>
        <w:tc>
          <w:tcPr>
            <w:tcW w:w="5760" w:type="dxa"/>
          </w:tcPr>
          <w:p w:rsidR="00670DF6" w:rsidRPr="001D5C1F" w:rsidRDefault="00670DF6" w:rsidP="001D5C1F">
            <w:pPr>
              <w:spacing w:after="80"/>
              <w:ind w:left="-52" w:right="34"/>
              <w:rPr>
                <w:rFonts w:ascii="Verdana" w:hAnsi="Verdana"/>
                <w:sz w:val="20"/>
              </w:rPr>
            </w:pPr>
            <w:r w:rsidRPr="001D5C1F">
              <w:rPr>
                <w:rFonts w:ascii="Verdana" w:hAnsi="Verdana"/>
                <w:sz w:val="20"/>
              </w:rPr>
              <w:t xml:space="preserve">Erfolgsrechnerischer Begriff der Finanzbuchhaltung. Der </w:t>
            </w:r>
            <w:r w:rsidRPr="001D5C1F">
              <w:rPr>
                <w:rFonts w:ascii="Verdana" w:hAnsi="Verdana"/>
                <w:i/>
                <w:sz w:val="20"/>
              </w:rPr>
              <w:t>Ertrag</w:t>
            </w:r>
            <w:r w:rsidRPr="001D5C1F">
              <w:rPr>
                <w:rFonts w:ascii="Verdana" w:hAnsi="Verdana"/>
                <w:sz w:val="20"/>
              </w:rPr>
              <w:t xml:space="preserve"> ist das Ergebnis des jährlichen Dienstleistungsprozesses des Gemeinwesens. </w:t>
            </w:r>
          </w:p>
          <w:p w:rsidR="00670DF6" w:rsidRPr="001D5C1F" w:rsidRDefault="00670DF6" w:rsidP="001D5C1F">
            <w:pPr>
              <w:spacing w:after="80"/>
              <w:ind w:left="-52" w:right="34"/>
              <w:rPr>
                <w:rFonts w:ascii="Verdana" w:hAnsi="Verdana"/>
                <w:sz w:val="20"/>
              </w:rPr>
            </w:pPr>
            <w:r w:rsidRPr="001D5C1F">
              <w:rPr>
                <w:rFonts w:ascii="Verdana" w:hAnsi="Verdana"/>
                <w:sz w:val="20"/>
              </w:rPr>
              <w:t>Im HRM2 bezeichnet der Ertrag den gesamten Wertzuwachs innerhalb einer bestimmten Periode.</w:t>
            </w:r>
          </w:p>
        </w:tc>
      </w:tr>
      <w:tr w:rsidR="00670DF6" w:rsidRPr="001D5C1F" w:rsidTr="00337B67">
        <w:tc>
          <w:tcPr>
            <w:tcW w:w="3708" w:type="dxa"/>
          </w:tcPr>
          <w:p w:rsidR="00670DF6" w:rsidRPr="001D5C1F" w:rsidRDefault="00670DF6" w:rsidP="001D5C1F">
            <w:pPr>
              <w:ind w:right="34"/>
              <w:rPr>
                <w:rFonts w:ascii="Verdana" w:hAnsi="Verdana"/>
                <w:b/>
                <w:sz w:val="20"/>
              </w:rPr>
            </w:pPr>
            <w:r w:rsidRPr="001D5C1F">
              <w:rPr>
                <w:rFonts w:ascii="Verdana" w:hAnsi="Verdana"/>
                <w:b/>
                <w:sz w:val="20"/>
              </w:rPr>
              <w:t>Eventualverpflichtungen</w:t>
            </w:r>
          </w:p>
        </w:tc>
        <w:tc>
          <w:tcPr>
            <w:tcW w:w="5760" w:type="dxa"/>
          </w:tcPr>
          <w:p w:rsidR="00670DF6" w:rsidRPr="001D5C1F" w:rsidRDefault="00670DF6" w:rsidP="001D5C1F">
            <w:pPr>
              <w:spacing w:after="80"/>
              <w:ind w:left="-52" w:right="34"/>
              <w:rPr>
                <w:rFonts w:ascii="Verdana" w:hAnsi="Verdana"/>
                <w:sz w:val="20"/>
              </w:rPr>
            </w:pPr>
            <w:r w:rsidRPr="001D5C1F">
              <w:rPr>
                <w:rFonts w:ascii="Verdana" w:hAnsi="Verdana"/>
                <w:sz w:val="20"/>
              </w:rPr>
              <w:t>Siehe Gewährleistungsspiegel.</w:t>
            </w:r>
          </w:p>
        </w:tc>
      </w:tr>
      <w:tr w:rsidR="00B069AF" w:rsidRPr="001D5C1F" w:rsidTr="00171B88">
        <w:tc>
          <w:tcPr>
            <w:tcW w:w="3708" w:type="dxa"/>
          </w:tcPr>
          <w:p w:rsidR="00B069AF" w:rsidRPr="001D5C1F" w:rsidRDefault="00B069AF" w:rsidP="001D5C1F">
            <w:pPr>
              <w:ind w:right="34"/>
              <w:rPr>
                <w:rFonts w:ascii="Verdana" w:hAnsi="Verdana"/>
                <w:b/>
                <w:sz w:val="20"/>
              </w:rPr>
            </w:pPr>
            <w:r w:rsidRPr="001D5C1F">
              <w:rPr>
                <w:rFonts w:ascii="Verdana" w:hAnsi="Verdana"/>
                <w:b/>
                <w:sz w:val="20"/>
              </w:rPr>
              <w:t>Finanzausgleich</w:t>
            </w:r>
          </w:p>
        </w:tc>
        <w:tc>
          <w:tcPr>
            <w:tcW w:w="5760" w:type="dxa"/>
          </w:tcPr>
          <w:p w:rsidR="00B069AF" w:rsidRPr="001D5C1F" w:rsidRDefault="00B069AF" w:rsidP="001D5C1F">
            <w:pPr>
              <w:spacing w:after="80"/>
              <w:ind w:left="-52" w:right="34"/>
              <w:rPr>
                <w:rFonts w:ascii="Verdana" w:hAnsi="Verdana"/>
                <w:sz w:val="20"/>
              </w:rPr>
            </w:pPr>
            <w:r w:rsidRPr="001D5C1F">
              <w:rPr>
                <w:rFonts w:ascii="Verdana" w:hAnsi="Verdana"/>
                <w:sz w:val="20"/>
              </w:rPr>
              <w:t>Der Finanzausgleich des Kantons Nidwalden ist im Gesetz über den direkten Finanzausgleich (Finanzausgleichsgesetz) vom 17.4.2002 geregelt</w:t>
            </w:r>
            <w:r w:rsidR="00843CD7" w:rsidRPr="001D5C1F">
              <w:rPr>
                <w:rFonts w:ascii="Verdana" w:hAnsi="Verdana"/>
                <w:sz w:val="20"/>
              </w:rPr>
              <w:t xml:space="preserve"> </w:t>
            </w:r>
            <w:r w:rsidRPr="001D5C1F">
              <w:rPr>
                <w:rFonts w:ascii="Verdana" w:hAnsi="Verdana"/>
                <w:sz w:val="20"/>
              </w:rPr>
              <w:t xml:space="preserve">(NG 512.1). </w:t>
            </w:r>
          </w:p>
          <w:p w:rsidR="00B069AF" w:rsidRPr="001D5C1F" w:rsidRDefault="00B069AF" w:rsidP="001D5C1F">
            <w:pPr>
              <w:spacing w:after="80"/>
              <w:ind w:left="-52" w:right="34"/>
              <w:rPr>
                <w:rFonts w:ascii="Verdana" w:hAnsi="Verdana"/>
                <w:sz w:val="20"/>
              </w:rPr>
            </w:pPr>
            <w:r w:rsidRPr="001D5C1F">
              <w:rPr>
                <w:rFonts w:ascii="Verdana" w:hAnsi="Verdana"/>
                <w:sz w:val="20"/>
              </w:rPr>
              <w:t>Der direkte Finanzausgleich umfasst den Finanzkraftausgleich, den Normausgleich für die Schulgemeinden sowie Belastungsausgleich Wildbachverbauungen und Naturkatastrophen.</w:t>
            </w:r>
            <w:r w:rsidRPr="001D5C1F">
              <w:rPr>
                <w:rFonts w:ascii="Verdana" w:hAnsi="Verdana"/>
              </w:rPr>
              <w:t xml:space="preserve">  </w:t>
            </w:r>
          </w:p>
        </w:tc>
      </w:tr>
      <w:tr w:rsidR="00843CD7" w:rsidRPr="001D5C1F" w:rsidTr="00171B88">
        <w:tc>
          <w:tcPr>
            <w:tcW w:w="3708" w:type="dxa"/>
          </w:tcPr>
          <w:p w:rsidR="00843CD7" w:rsidRPr="001D5C1F" w:rsidRDefault="00843CD7" w:rsidP="001D5C1F">
            <w:pPr>
              <w:ind w:right="34"/>
              <w:rPr>
                <w:rFonts w:ascii="Verdana" w:hAnsi="Verdana"/>
                <w:b/>
                <w:sz w:val="20"/>
              </w:rPr>
            </w:pPr>
            <w:r w:rsidRPr="001D5C1F">
              <w:rPr>
                <w:rFonts w:ascii="Verdana" w:hAnsi="Verdana"/>
                <w:b/>
                <w:sz w:val="20"/>
              </w:rPr>
              <w:t>Finanzplan</w:t>
            </w:r>
          </w:p>
        </w:tc>
        <w:tc>
          <w:tcPr>
            <w:tcW w:w="5760" w:type="dxa"/>
          </w:tcPr>
          <w:p w:rsidR="00843CD7" w:rsidRPr="001D5C1F" w:rsidRDefault="00DF4B20" w:rsidP="001D5C1F">
            <w:pPr>
              <w:spacing w:after="80"/>
              <w:ind w:left="-52" w:right="34"/>
              <w:rPr>
                <w:rFonts w:ascii="Verdana" w:hAnsi="Verdana"/>
                <w:sz w:val="20"/>
              </w:rPr>
            </w:pPr>
            <w:r w:rsidRPr="001D5C1F">
              <w:rPr>
                <w:rFonts w:ascii="Verdana" w:hAnsi="Verdana"/>
                <w:sz w:val="20"/>
                <w:lang w:val="de-DE"/>
              </w:rPr>
              <w:t>Der Finanzplan orientiert über die mutmassliche mittelfristige Entwicklung des Aufwandes und Ertrags der Erfolgsrechnung und über die vorgesehenen Investitionen mit ihren Folgekosten.</w:t>
            </w:r>
          </w:p>
        </w:tc>
      </w:tr>
      <w:tr w:rsidR="00670DF6" w:rsidRPr="001D5C1F" w:rsidTr="00337B67">
        <w:tc>
          <w:tcPr>
            <w:tcW w:w="3708" w:type="dxa"/>
          </w:tcPr>
          <w:p w:rsidR="00670DF6" w:rsidRPr="001D5C1F" w:rsidRDefault="00670DF6" w:rsidP="001D5C1F">
            <w:pPr>
              <w:ind w:right="34"/>
              <w:rPr>
                <w:rFonts w:ascii="Verdana" w:hAnsi="Verdana"/>
                <w:b/>
                <w:sz w:val="20"/>
              </w:rPr>
            </w:pPr>
            <w:r w:rsidRPr="001D5C1F">
              <w:rPr>
                <w:rFonts w:ascii="Verdana" w:hAnsi="Verdana"/>
                <w:b/>
                <w:sz w:val="20"/>
              </w:rPr>
              <w:t>Finanzstatistik</w:t>
            </w:r>
          </w:p>
        </w:tc>
        <w:tc>
          <w:tcPr>
            <w:tcW w:w="5760" w:type="dxa"/>
          </w:tcPr>
          <w:p w:rsidR="00670DF6" w:rsidRPr="001D5C1F" w:rsidRDefault="00670DF6" w:rsidP="001D5C1F">
            <w:pPr>
              <w:spacing w:after="80"/>
              <w:ind w:left="-52" w:right="34"/>
              <w:rPr>
                <w:rFonts w:ascii="Verdana" w:hAnsi="Verdana"/>
                <w:sz w:val="20"/>
              </w:rPr>
            </w:pPr>
            <w:r w:rsidRPr="001D5C1F">
              <w:rPr>
                <w:rFonts w:ascii="Verdana" w:hAnsi="Verdana"/>
                <w:sz w:val="20"/>
              </w:rPr>
              <w:t xml:space="preserve">Die Finanzstatistik ist eine Synthesestatistik und stellt die Ausweise der Ertrags-, Finanz- und Vermögenslage öffentlicher Haushalte (Bund, Kantone, Gemeinden und öffentliche Sozialversicherungen) sowie die Struktur ihrer Ausgaben, gegliedert nach Aufgabengebieten, auf eine vergleichbare Grundlage. </w:t>
            </w:r>
          </w:p>
        </w:tc>
      </w:tr>
      <w:tr w:rsidR="00670DF6" w:rsidRPr="001D5C1F" w:rsidTr="00337B67">
        <w:tc>
          <w:tcPr>
            <w:tcW w:w="3708" w:type="dxa"/>
          </w:tcPr>
          <w:p w:rsidR="00670DF6" w:rsidRPr="001D5C1F" w:rsidRDefault="00670DF6" w:rsidP="001D5C1F">
            <w:pPr>
              <w:ind w:right="79"/>
              <w:rPr>
                <w:rFonts w:ascii="Verdana" w:hAnsi="Verdana"/>
                <w:b/>
                <w:sz w:val="20"/>
              </w:rPr>
            </w:pPr>
            <w:r w:rsidRPr="001D5C1F">
              <w:rPr>
                <w:rFonts w:ascii="Verdana" w:hAnsi="Verdana"/>
                <w:b/>
                <w:sz w:val="20"/>
              </w:rPr>
              <w:t>Finanzunwirksame Vorgänge</w:t>
            </w:r>
          </w:p>
        </w:tc>
        <w:tc>
          <w:tcPr>
            <w:tcW w:w="5760" w:type="dxa"/>
          </w:tcPr>
          <w:p w:rsidR="00670DF6" w:rsidRPr="001D5C1F" w:rsidRDefault="00670DF6" w:rsidP="001D5C1F">
            <w:pPr>
              <w:spacing w:after="80"/>
              <w:ind w:left="-52" w:right="34"/>
              <w:rPr>
                <w:rFonts w:ascii="Verdana" w:hAnsi="Verdana"/>
                <w:sz w:val="20"/>
              </w:rPr>
            </w:pPr>
            <w:r w:rsidRPr="001D5C1F">
              <w:rPr>
                <w:rFonts w:ascii="Verdana" w:hAnsi="Verdana"/>
                <w:sz w:val="20"/>
              </w:rPr>
              <w:t xml:space="preserve">Ein </w:t>
            </w:r>
            <w:r w:rsidRPr="001D5C1F">
              <w:rPr>
                <w:rFonts w:ascii="Verdana" w:hAnsi="Verdana"/>
                <w:i/>
                <w:sz w:val="20"/>
              </w:rPr>
              <w:t>finanzunwirksamer Vorgang</w:t>
            </w:r>
            <w:r w:rsidRPr="001D5C1F">
              <w:rPr>
                <w:rFonts w:ascii="Verdana" w:hAnsi="Verdana"/>
                <w:sz w:val="20"/>
              </w:rPr>
              <w:t xml:space="preserve"> ist ein Vorgang, der sich nicht auf den Bestand an liquiden Mitteln auswirkt (z.B. Abschreibung eines Vermö</w:t>
            </w:r>
            <w:r w:rsidR="008D1D5A" w:rsidRPr="001D5C1F">
              <w:rPr>
                <w:rFonts w:ascii="Verdana" w:hAnsi="Verdana"/>
                <w:sz w:val="20"/>
              </w:rPr>
              <w:t>gensge</w:t>
            </w:r>
            <w:r w:rsidRPr="001D5C1F">
              <w:rPr>
                <w:rFonts w:ascii="Verdana" w:hAnsi="Verdana"/>
                <w:sz w:val="20"/>
              </w:rPr>
              <w:t>genstandes).</w:t>
            </w:r>
          </w:p>
        </w:tc>
      </w:tr>
      <w:tr w:rsidR="00670DF6" w:rsidRPr="001D5C1F" w:rsidTr="00337B67">
        <w:tc>
          <w:tcPr>
            <w:tcW w:w="3708" w:type="dxa"/>
          </w:tcPr>
          <w:p w:rsidR="00670DF6" w:rsidRPr="001D5C1F" w:rsidRDefault="00670DF6" w:rsidP="001D5C1F">
            <w:pPr>
              <w:ind w:right="34"/>
              <w:rPr>
                <w:rFonts w:ascii="Verdana" w:hAnsi="Verdana"/>
                <w:b/>
                <w:sz w:val="20"/>
              </w:rPr>
            </w:pPr>
            <w:r w:rsidRPr="001D5C1F">
              <w:rPr>
                <w:rFonts w:ascii="Verdana" w:hAnsi="Verdana"/>
                <w:b/>
                <w:sz w:val="20"/>
              </w:rPr>
              <w:t>Finanzvermögen</w:t>
            </w:r>
          </w:p>
        </w:tc>
        <w:tc>
          <w:tcPr>
            <w:tcW w:w="5760" w:type="dxa"/>
          </w:tcPr>
          <w:p w:rsidR="00670DF6" w:rsidRPr="001D5C1F" w:rsidRDefault="00670DF6" w:rsidP="001D5C1F">
            <w:pPr>
              <w:spacing w:after="80"/>
              <w:ind w:left="-52" w:right="34"/>
              <w:rPr>
                <w:rFonts w:ascii="Verdana" w:hAnsi="Verdana"/>
                <w:sz w:val="20"/>
              </w:rPr>
            </w:pPr>
            <w:r w:rsidRPr="001D5C1F">
              <w:rPr>
                <w:rFonts w:ascii="Verdana" w:hAnsi="Verdana"/>
                <w:sz w:val="20"/>
              </w:rPr>
              <w:t xml:space="preserve">Das </w:t>
            </w:r>
            <w:r w:rsidRPr="001D5C1F">
              <w:rPr>
                <w:rFonts w:ascii="Verdana" w:hAnsi="Verdana"/>
                <w:i/>
                <w:sz w:val="20"/>
              </w:rPr>
              <w:t>Finanzvermögen</w:t>
            </w:r>
            <w:r w:rsidRPr="001D5C1F">
              <w:rPr>
                <w:rFonts w:ascii="Verdana" w:hAnsi="Verdana"/>
                <w:sz w:val="20"/>
              </w:rPr>
              <w:t xml:space="preserve"> umfasst jene Vermögenswerte, die ohne Beeinträchtigung der öffentlichen Aufgaben</w:t>
            </w:r>
            <w:r w:rsidRPr="001D5C1F">
              <w:rPr>
                <w:rFonts w:ascii="Verdana" w:hAnsi="Verdana"/>
                <w:sz w:val="20"/>
              </w:rPr>
              <w:softHyphen/>
              <w:t>erfüllung veräussert werden können.</w:t>
            </w:r>
          </w:p>
        </w:tc>
      </w:tr>
      <w:tr w:rsidR="00843CD7" w:rsidRPr="001D5C1F" w:rsidTr="00171B88">
        <w:tc>
          <w:tcPr>
            <w:tcW w:w="3708" w:type="dxa"/>
          </w:tcPr>
          <w:p w:rsidR="00843CD7" w:rsidRPr="001D5C1F" w:rsidRDefault="00843CD7" w:rsidP="001D5C1F">
            <w:pPr>
              <w:ind w:right="34"/>
              <w:rPr>
                <w:rFonts w:ascii="Verdana" w:hAnsi="Verdana"/>
                <w:b/>
                <w:sz w:val="20"/>
              </w:rPr>
            </w:pPr>
            <w:r w:rsidRPr="001D5C1F">
              <w:rPr>
                <w:rFonts w:ascii="Verdana" w:hAnsi="Verdana"/>
                <w:b/>
                <w:sz w:val="20"/>
              </w:rPr>
              <w:lastRenderedPageBreak/>
              <w:t>Funktionale Gliederung</w:t>
            </w:r>
          </w:p>
        </w:tc>
        <w:tc>
          <w:tcPr>
            <w:tcW w:w="5760" w:type="dxa"/>
          </w:tcPr>
          <w:p w:rsidR="00843CD7" w:rsidRPr="001D5C1F" w:rsidRDefault="00DF4B20" w:rsidP="001D5C1F">
            <w:pPr>
              <w:spacing w:after="80"/>
              <w:ind w:left="-52" w:right="34"/>
              <w:rPr>
                <w:rFonts w:ascii="Verdana" w:hAnsi="Verdana"/>
                <w:sz w:val="20"/>
              </w:rPr>
            </w:pPr>
            <w:r w:rsidRPr="001D5C1F">
              <w:rPr>
                <w:rFonts w:ascii="Verdana" w:hAnsi="Verdana"/>
                <w:sz w:val="20"/>
                <w:lang w:val="de-DE"/>
              </w:rPr>
              <w:t>Gliederung der Rechnung nach Aufgaben (z.B. allg. Verwaltung, Bildung etc.).</w:t>
            </w:r>
          </w:p>
        </w:tc>
      </w:tr>
      <w:tr w:rsidR="00670DF6" w:rsidRPr="001D5C1F" w:rsidTr="00337B67">
        <w:tc>
          <w:tcPr>
            <w:tcW w:w="3708" w:type="dxa"/>
          </w:tcPr>
          <w:p w:rsidR="00670DF6" w:rsidRPr="001D5C1F" w:rsidRDefault="00670DF6" w:rsidP="001D5C1F">
            <w:pPr>
              <w:ind w:right="79"/>
              <w:rPr>
                <w:rFonts w:ascii="Verdana" w:hAnsi="Verdana"/>
                <w:b/>
                <w:sz w:val="20"/>
              </w:rPr>
            </w:pPr>
            <w:r w:rsidRPr="001D5C1F">
              <w:rPr>
                <w:rFonts w:ascii="Verdana" w:hAnsi="Verdana"/>
                <w:b/>
                <w:sz w:val="20"/>
              </w:rPr>
              <w:t>Geldflussrechnung</w:t>
            </w:r>
          </w:p>
        </w:tc>
        <w:tc>
          <w:tcPr>
            <w:tcW w:w="5760" w:type="dxa"/>
          </w:tcPr>
          <w:p w:rsidR="00670DF6" w:rsidRPr="001D5C1F" w:rsidRDefault="00670DF6" w:rsidP="001D5C1F">
            <w:pPr>
              <w:spacing w:after="80"/>
              <w:ind w:left="-52" w:right="34"/>
              <w:rPr>
                <w:rFonts w:ascii="Verdana" w:hAnsi="Verdana"/>
                <w:sz w:val="20"/>
              </w:rPr>
            </w:pPr>
            <w:r w:rsidRPr="001D5C1F">
              <w:rPr>
                <w:rFonts w:ascii="Verdana" w:hAnsi="Verdana"/>
                <w:sz w:val="20"/>
              </w:rPr>
              <w:t xml:space="preserve">Eine </w:t>
            </w:r>
            <w:r w:rsidRPr="001D5C1F">
              <w:rPr>
                <w:rFonts w:ascii="Verdana" w:hAnsi="Verdana"/>
                <w:i/>
                <w:sz w:val="20"/>
              </w:rPr>
              <w:t>Geldflussrechnung</w:t>
            </w:r>
            <w:r w:rsidRPr="001D5C1F">
              <w:rPr>
                <w:rFonts w:ascii="Verdana" w:hAnsi="Verdana"/>
                <w:sz w:val="20"/>
              </w:rPr>
              <w:t xml:space="preserve"> ist eine Gegenüberstellung der Zunahme und der Abnahme der liquiden Mittel in einer Periode. Der Fonds Geld besteht aus den Konten Kassa, Post und Bank. </w:t>
            </w:r>
            <w:r w:rsidR="008D1D5A" w:rsidRPr="001D5C1F">
              <w:rPr>
                <w:rFonts w:ascii="Verdana" w:hAnsi="Verdana"/>
                <w:sz w:val="20"/>
                <w:lang w:val="de-DE"/>
              </w:rPr>
              <w:t xml:space="preserve">Sie gibt Einsicht in die Liquiditätsverhältnisse und die Veränderungen der Kapital- und Vermögensstruktur. </w:t>
            </w:r>
          </w:p>
        </w:tc>
      </w:tr>
      <w:tr w:rsidR="00670DF6" w:rsidRPr="001D5C1F" w:rsidTr="00337B67">
        <w:tc>
          <w:tcPr>
            <w:tcW w:w="3708" w:type="dxa"/>
          </w:tcPr>
          <w:p w:rsidR="00670DF6" w:rsidRPr="001D5C1F" w:rsidRDefault="00670DF6" w:rsidP="001D5C1F">
            <w:pPr>
              <w:ind w:right="34"/>
              <w:rPr>
                <w:rFonts w:ascii="Verdana" w:hAnsi="Verdana"/>
                <w:b/>
                <w:sz w:val="20"/>
              </w:rPr>
            </w:pPr>
            <w:r w:rsidRPr="001D5C1F">
              <w:rPr>
                <w:rFonts w:ascii="Verdana" w:hAnsi="Verdana"/>
                <w:b/>
                <w:sz w:val="20"/>
              </w:rPr>
              <w:t>Gewährleistung</w:t>
            </w:r>
          </w:p>
        </w:tc>
        <w:tc>
          <w:tcPr>
            <w:tcW w:w="5760" w:type="dxa"/>
          </w:tcPr>
          <w:p w:rsidR="00670DF6" w:rsidRPr="001D5C1F" w:rsidRDefault="00670DF6" w:rsidP="001D5C1F">
            <w:pPr>
              <w:spacing w:after="80"/>
              <w:ind w:left="-52" w:right="34"/>
              <w:rPr>
                <w:rFonts w:ascii="Verdana" w:hAnsi="Verdana"/>
                <w:sz w:val="20"/>
              </w:rPr>
            </w:pPr>
            <w:r w:rsidRPr="001D5C1F">
              <w:rPr>
                <w:rFonts w:ascii="Verdana" w:hAnsi="Verdana"/>
                <w:sz w:val="20"/>
              </w:rPr>
              <w:t xml:space="preserve">Bei einer </w:t>
            </w:r>
            <w:r w:rsidRPr="001D5C1F">
              <w:rPr>
                <w:rFonts w:ascii="Verdana" w:hAnsi="Verdana"/>
                <w:i/>
                <w:sz w:val="20"/>
              </w:rPr>
              <w:t>Gewährleistung</w:t>
            </w:r>
            <w:r w:rsidRPr="001D5C1F">
              <w:rPr>
                <w:rFonts w:ascii="Verdana" w:hAnsi="Verdana"/>
                <w:sz w:val="20"/>
              </w:rPr>
              <w:t xml:space="preserve"> handelt es sich um einen Tatbestand, aus dem sich in Zukunft eine wesentliche Verpflichtung ergeben kann, die auf einer präzisen gesetzlichen Grundlage basiert. Die Definition umfasst sowohl Eventualverbindlichkeiten (z.B. Bürgschaften, Garantieverpflichtungen, Haftung bei Forderungs</w:t>
            </w:r>
            <w:r w:rsidRPr="001D5C1F">
              <w:rPr>
                <w:rFonts w:ascii="Verdana" w:hAnsi="Verdana"/>
                <w:sz w:val="20"/>
              </w:rPr>
              <w:softHyphen/>
              <w:t>abtretung, Pfandbestellung) als auch Sachverhalte mit Eventualcharakter (z.B. Defizitgarantie, Konventional</w:t>
            </w:r>
            <w:r w:rsidRPr="001D5C1F">
              <w:rPr>
                <w:rFonts w:ascii="Verdana" w:hAnsi="Verdana"/>
                <w:sz w:val="20"/>
              </w:rPr>
              <w:softHyphen/>
              <w:t>strafe, Reuegelder oder Prozessrisiken).</w:t>
            </w:r>
            <w:r w:rsidR="008D1D5A" w:rsidRPr="001D5C1F">
              <w:rPr>
                <w:rFonts w:ascii="Verdana" w:hAnsi="Verdana"/>
                <w:sz w:val="20"/>
              </w:rPr>
              <w:t xml:space="preserve"> Der </w:t>
            </w:r>
            <w:r w:rsidR="008D1D5A" w:rsidRPr="001D5C1F">
              <w:rPr>
                <w:rFonts w:ascii="Verdana" w:hAnsi="Verdana"/>
                <w:i/>
                <w:sz w:val="20"/>
              </w:rPr>
              <w:t>Gewährleistungsspiegel</w:t>
            </w:r>
            <w:r w:rsidR="008D1D5A" w:rsidRPr="001D5C1F">
              <w:rPr>
                <w:rFonts w:ascii="Verdana" w:hAnsi="Verdana"/>
                <w:sz w:val="20"/>
              </w:rPr>
              <w:t xml:space="preserve"> wird im Anhang publiziert. </w:t>
            </w:r>
          </w:p>
        </w:tc>
      </w:tr>
      <w:tr w:rsidR="00843CD7" w:rsidRPr="001D5C1F" w:rsidTr="00171B88">
        <w:tc>
          <w:tcPr>
            <w:tcW w:w="3708" w:type="dxa"/>
          </w:tcPr>
          <w:p w:rsidR="00843CD7" w:rsidRPr="001D5C1F" w:rsidRDefault="00843CD7" w:rsidP="001D5C1F">
            <w:pPr>
              <w:ind w:right="34"/>
              <w:rPr>
                <w:rFonts w:ascii="Verdana" w:hAnsi="Verdana"/>
                <w:b/>
                <w:sz w:val="20"/>
              </w:rPr>
            </w:pPr>
            <w:r w:rsidRPr="001D5C1F">
              <w:rPr>
                <w:rFonts w:ascii="Verdana" w:hAnsi="Verdana"/>
                <w:b/>
                <w:sz w:val="20"/>
              </w:rPr>
              <w:t>Interne Verrechnungen</w:t>
            </w:r>
          </w:p>
        </w:tc>
        <w:tc>
          <w:tcPr>
            <w:tcW w:w="5760" w:type="dxa"/>
          </w:tcPr>
          <w:p w:rsidR="00843CD7" w:rsidRPr="001D5C1F" w:rsidRDefault="00DF4B20" w:rsidP="001D5C1F">
            <w:pPr>
              <w:spacing w:after="80"/>
              <w:ind w:right="34"/>
              <w:rPr>
                <w:rFonts w:ascii="Verdana" w:hAnsi="Verdana"/>
                <w:sz w:val="20"/>
              </w:rPr>
            </w:pPr>
            <w:r w:rsidRPr="001D5C1F">
              <w:rPr>
                <w:rFonts w:ascii="Verdana" w:hAnsi="Verdana"/>
                <w:i/>
                <w:sz w:val="20"/>
                <w:lang w:val="de-DE"/>
              </w:rPr>
              <w:t>Interne Verrechungen</w:t>
            </w:r>
            <w:r w:rsidRPr="001D5C1F">
              <w:rPr>
                <w:rFonts w:ascii="Verdana" w:hAnsi="Verdana"/>
                <w:sz w:val="20"/>
                <w:lang w:val="de-DE"/>
              </w:rPr>
              <w:t xml:space="preserve"> sind Gutschriften und Belastungen zwischen Kostenstellen desselben Rechnungskreises.</w:t>
            </w:r>
          </w:p>
        </w:tc>
      </w:tr>
      <w:tr w:rsidR="00670DF6" w:rsidRPr="001D5C1F" w:rsidTr="00337B67">
        <w:tc>
          <w:tcPr>
            <w:tcW w:w="3708" w:type="dxa"/>
          </w:tcPr>
          <w:p w:rsidR="00670DF6" w:rsidRPr="001D5C1F" w:rsidRDefault="00670DF6" w:rsidP="001D5C1F">
            <w:pPr>
              <w:ind w:right="79"/>
              <w:rPr>
                <w:rFonts w:ascii="Verdana" w:hAnsi="Verdana"/>
                <w:b/>
                <w:sz w:val="20"/>
              </w:rPr>
            </w:pPr>
            <w:r w:rsidRPr="001D5C1F">
              <w:rPr>
                <w:rFonts w:ascii="Verdana" w:hAnsi="Verdana"/>
                <w:b/>
                <w:sz w:val="20"/>
              </w:rPr>
              <w:t>Investitionsausgaben</w:t>
            </w:r>
          </w:p>
        </w:tc>
        <w:tc>
          <w:tcPr>
            <w:tcW w:w="5760" w:type="dxa"/>
          </w:tcPr>
          <w:p w:rsidR="00670DF6" w:rsidRPr="001D5C1F" w:rsidRDefault="00670DF6" w:rsidP="001D5C1F">
            <w:pPr>
              <w:spacing w:after="80"/>
              <w:ind w:left="-52" w:right="34"/>
              <w:rPr>
                <w:rFonts w:ascii="Verdana" w:hAnsi="Verdana"/>
                <w:sz w:val="20"/>
              </w:rPr>
            </w:pPr>
            <w:r w:rsidRPr="001D5C1F">
              <w:rPr>
                <w:rFonts w:ascii="Verdana" w:hAnsi="Verdana"/>
                <w:i/>
                <w:sz w:val="20"/>
              </w:rPr>
              <w:t xml:space="preserve">Investitionsausgaben </w:t>
            </w:r>
            <w:r w:rsidRPr="001D5C1F">
              <w:rPr>
                <w:rFonts w:ascii="Verdana" w:hAnsi="Verdana"/>
                <w:sz w:val="20"/>
              </w:rPr>
              <w:t>sind die Ausgaben zur Schaffung von Investitionen.</w:t>
            </w:r>
            <w:r w:rsidR="008D1D5A" w:rsidRPr="001D5C1F">
              <w:rPr>
                <w:rFonts w:ascii="Verdana" w:hAnsi="Verdana"/>
                <w:sz w:val="20"/>
              </w:rPr>
              <w:t xml:space="preserve"> Dies sind dies Ausgaben mit einer mehrjährigen Nutzungsdauer, die aktiviert werden, insbesondere Sachinvestitionen und Investitionsbeiträge ferner Darlehen und Beteiligungen des Verwaltungsvermögens.</w:t>
            </w:r>
          </w:p>
        </w:tc>
      </w:tr>
      <w:tr w:rsidR="00670DF6" w:rsidRPr="001D5C1F" w:rsidTr="00337B67">
        <w:tc>
          <w:tcPr>
            <w:tcW w:w="3708" w:type="dxa"/>
          </w:tcPr>
          <w:p w:rsidR="00670DF6" w:rsidRPr="001D5C1F" w:rsidRDefault="00670DF6" w:rsidP="001D5C1F">
            <w:pPr>
              <w:ind w:right="34"/>
              <w:rPr>
                <w:rFonts w:ascii="Verdana" w:hAnsi="Verdana"/>
                <w:b/>
                <w:sz w:val="20"/>
              </w:rPr>
            </w:pPr>
            <w:r w:rsidRPr="001D5C1F">
              <w:rPr>
                <w:rFonts w:ascii="Verdana" w:hAnsi="Verdana"/>
                <w:b/>
                <w:sz w:val="20"/>
              </w:rPr>
              <w:t>Investitionsbeiträge</w:t>
            </w:r>
          </w:p>
        </w:tc>
        <w:tc>
          <w:tcPr>
            <w:tcW w:w="5760" w:type="dxa"/>
          </w:tcPr>
          <w:p w:rsidR="00670DF6" w:rsidRPr="001D5C1F" w:rsidRDefault="00670DF6" w:rsidP="001D5C1F">
            <w:pPr>
              <w:spacing w:after="80"/>
              <w:ind w:left="-52" w:right="34"/>
              <w:rPr>
                <w:rFonts w:ascii="Verdana" w:hAnsi="Verdana"/>
                <w:sz w:val="20"/>
              </w:rPr>
            </w:pPr>
            <w:r w:rsidRPr="001D5C1F">
              <w:rPr>
                <w:rFonts w:ascii="Verdana" w:hAnsi="Verdana"/>
                <w:i/>
                <w:sz w:val="20"/>
              </w:rPr>
              <w:t>Investitionsbeiträge</w:t>
            </w:r>
            <w:r w:rsidRPr="001D5C1F">
              <w:rPr>
                <w:rFonts w:ascii="Verdana" w:hAnsi="Verdana"/>
                <w:sz w:val="20"/>
              </w:rPr>
              <w:t xml:space="preserve"> sind definiert als geldwerte Leistungen, mit denen beim Empfänger der Beiträge dauerhafte Vermögenswerte mit Investitionscharakter begründet werden.</w:t>
            </w:r>
          </w:p>
        </w:tc>
      </w:tr>
      <w:tr w:rsidR="00670DF6" w:rsidRPr="001D5C1F" w:rsidTr="00337B67">
        <w:tc>
          <w:tcPr>
            <w:tcW w:w="3708" w:type="dxa"/>
          </w:tcPr>
          <w:p w:rsidR="00670DF6" w:rsidRPr="001D5C1F" w:rsidRDefault="00670DF6" w:rsidP="001D5C1F">
            <w:pPr>
              <w:ind w:right="79"/>
              <w:rPr>
                <w:rFonts w:ascii="Verdana" w:hAnsi="Verdana"/>
                <w:b/>
                <w:sz w:val="20"/>
              </w:rPr>
            </w:pPr>
            <w:r w:rsidRPr="001D5C1F">
              <w:rPr>
                <w:rFonts w:ascii="Verdana" w:hAnsi="Verdana"/>
                <w:b/>
                <w:sz w:val="20"/>
              </w:rPr>
              <w:t>Investitionseinnahmen</w:t>
            </w:r>
          </w:p>
        </w:tc>
        <w:tc>
          <w:tcPr>
            <w:tcW w:w="5760" w:type="dxa"/>
          </w:tcPr>
          <w:p w:rsidR="00670DF6" w:rsidRPr="001D5C1F" w:rsidRDefault="00670DF6" w:rsidP="001D5C1F">
            <w:pPr>
              <w:spacing w:after="80"/>
              <w:ind w:left="-52" w:right="34"/>
              <w:rPr>
                <w:rFonts w:ascii="Verdana" w:hAnsi="Verdana"/>
                <w:sz w:val="20"/>
              </w:rPr>
            </w:pPr>
            <w:r w:rsidRPr="001D5C1F">
              <w:rPr>
                <w:rFonts w:ascii="Verdana" w:hAnsi="Verdana"/>
                <w:i/>
                <w:sz w:val="20"/>
              </w:rPr>
              <w:t>Investitionseinnahmen</w:t>
            </w:r>
            <w:r w:rsidRPr="001D5C1F">
              <w:rPr>
                <w:rFonts w:ascii="Verdana" w:hAnsi="Verdana"/>
                <w:sz w:val="20"/>
              </w:rPr>
              <w:t xml:space="preserve"> sind die Einnahmen für Investitionen oder Desinvestitionen</w:t>
            </w:r>
            <w:r w:rsidR="008D1D5A" w:rsidRPr="001D5C1F">
              <w:rPr>
                <w:rFonts w:ascii="Verdana" w:hAnsi="Verdana"/>
                <w:sz w:val="20"/>
              </w:rPr>
              <w:t>. Dies sind vor allem Einnahmen aus der Veräusserung von Sachanlagen</w:t>
            </w:r>
            <w:r w:rsidR="00B16F3C" w:rsidRPr="001D5C1F">
              <w:rPr>
                <w:rFonts w:ascii="Verdana" w:hAnsi="Verdana"/>
                <w:sz w:val="20"/>
              </w:rPr>
              <w:t xml:space="preserve"> und Rückerstattungen von Investi</w:t>
            </w:r>
            <w:r w:rsidR="008D1D5A" w:rsidRPr="001D5C1F">
              <w:rPr>
                <w:rFonts w:ascii="Verdana" w:hAnsi="Verdana"/>
                <w:sz w:val="20"/>
              </w:rPr>
              <w:t>tions</w:t>
            </w:r>
            <w:r w:rsidR="008D1D5A" w:rsidRPr="001D5C1F">
              <w:rPr>
                <w:rFonts w:ascii="Verdana" w:hAnsi="Verdana"/>
                <w:sz w:val="20"/>
              </w:rPr>
              <w:softHyphen/>
              <w:t>beiträgen, Rückzahlungen von Darlehen des Verwaltungsvermögens und Rückzahlungen oder Ver</w:t>
            </w:r>
            <w:r w:rsidR="00B16F3C" w:rsidRPr="001D5C1F">
              <w:rPr>
                <w:rFonts w:ascii="Verdana" w:hAnsi="Verdana"/>
                <w:sz w:val="20"/>
              </w:rPr>
              <w:t>käufe von Beteiligungen des Verwaltungsver</w:t>
            </w:r>
            <w:r w:rsidR="008D1D5A" w:rsidRPr="001D5C1F">
              <w:rPr>
                <w:rFonts w:ascii="Verdana" w:hAnsi="Verdana"/>
                <w:sz w:val="20"/>
              </w:rPr>
              <w:t>mö</w:t>
            </w:r>
            <w:r w:rsidR="008D1D5A" w:rsidRPr="001D5C1F">
              <w:rPr>
                <w:rFonts w:ascii="Verdana" w:hAnsi="Verdana"/>
                <w:sz w:val="20"/>
              </w:rPr>
              <w:softHyphen/>
              <w:t>gens.</w:t>
            </w:r>
            <w:r w:rsidRPr="001D5C1F">
              <w:rPr>
                <w:rFonts w:ascii="Verdana" w:hAnsi="Verdana"/>
                <w:sz w:val="20"/>
              </w:rPr>
              <w:t xml:space="preserve"> </w:t>
            </w:r>
          </w:p>
        </w:tc>
      </w:tr>
      <w:tr w:rsidR="00670DF6" w:rsidRPr="001D5C1F" w:rsidTr="00337B67">
        <w:tc>
          <w:tcPr>
            <w:tcW w:w="3708" w:type="dxa"/>
          </w:tcPr>
          <w:p w:rsidR="00670DF6" w:rsidRPr="001D5C1F" w:rsidRDefault="00670DF6" w:rsidP="001D5C1F">
            <w:pPr>
              <w:ind w:right="79"/>
              <w:rPr>
                <w:rFonts w:ascii="Verdana" w:hAnsi="Verdana"/>
                <w:b/>
                <w:sz w:val="20"/>
              </w:rPr>
            </w:pPr>
            <w:r w:rsidRPr="001D5C1F">
              <w:rPr>
                <w:rFonts w:ascii="Verdana" w:hAnsi="Verdana"/>
                <w:b/>
                <w:sz w:val="20"/>
              </w:rPr>
              <w:t>Investitionsrechnung</w:t>
            </w:r>
          </w:p>
        </w:tc>
        <w:tc>
          <w:tcPr>
            <w:tcW w:w="5760" w:type="dxa"/>
          </w:tcPr>
          <w:p w:rsidR="00670DF6" w:rsidRPr="001D5C1F" w:rsidRDefault="00670DF6" w:rsidP="001D5C1F">
            <w:pPr>
              <w:spacing w:after="80"/>
              <w:ind w:left="-52" w:right="34"/>
              <w:rPr>
                <w:rFonts w:ascii="Verdana" w:hAnsi="Verdana"/>
                <w:sz w:val="20"/>
              </w:rPr>
            </w:pPr>
            <w:r w:rsidRPr="001D5C1F">
              <w:rPr>
                <w:rFonts w:ascii="Verdana" w:hAnsi="Verdana"/>
                <w:sz w:val="20"/>
              </w:rPr>
              <w:t xml:space="preserve">Die </w:t>
            </w:r>
            <w:r w:rsidRPr="001D5C1F">
              <w:rPr>
                <w:rFonts w:ascii="Verdana" w:hAnsi="Verdana"/>
                <w:i/>
                <w:sz w:val="20"/>
              </w:rPr>
              <w:t>Investitionsrechnung</w:t>
            </w:r>
            <w:r w:rsidRPr="001D5C1F">
              <w:rPr>
                <w:rFonts w:ascii="Verdana" w:hAnsi="Verdana"/>
                <w:sz w:val="20"/>
              </w:rPr>
              <w:t xml:space="preserve"> stellt die Investitionsausgaben den Investitionseinnahmen gegenüber. Sie bildet die Basis für die Ermittlung des Geldflusses aus Investitionen und Desinvestitionen in der Geldflussrechnung.</w:t>
            </w:r>
          </w:p>
        </w:tc>
      </w:tr>
      <w:tr w:rsidR="00670DF6" w:rsidRPr="001D5C1F" w:rsidTr="00337B67">
        <w:tc>
          <w:tcPr>
            <w:tcW w:w="3708" w:type="dxa"/>
          </w:tcPr>
          <w:p w:rsidR="00670DF6" w:rsidRPr="001D5C1F" w:rsidRDefault="00670DF6" w:rsidP="001D5C1F">
            <w:pPr>
              <w:ind w:right="79"/>
              <w:rPr>
                <w:rFonts w:ascii="Verdana" w:hAnsi="Verdana"/>
                <w:b/>
                <w:sz w:val="20"/>
              </w:rPr>
            </w:pPr>
            <w:r w:rsidRPr="001D5C1F">
              <w:rPr>
                <w:rFonts w:ascii="Verdana" w:hAnsi="Verdana"/>
                <w:b/>
                <w:sz w:val="20"/>
              </w:rPr>
              <w:t>Jahresrechnung</w:t>
            </w:r>
          </w:p>
        </w:tc>
        <w:tc>
          <w:tcPr>
            <w:tcW w:w="5760" w:type="dxa"/>
          </w:tcPr>
          <w:p w:rsidR="00670DF6" w:rsidRPr="001D5C1F" w:rsidRDefault="00670DF6" w:rsidP="001D5C1F">
            <w:pPr>
              <w:spacing w:after="80"/>
              <w:ind w:left="-52" w:right="34"/>
              <w:rPr>
                <w:rFonts w:ascii="Verdana" w:hAnsi="Verdana"/>
                <w:sz w:val="20"/>
              </w:rPr>
            </w:pPr>
            <w:r w:rsidRPr="001D5C1F">
              <w:rPr>
                <w:rFonts w:ascii="Verdana" w:hAnsi="Verdana"/>
                <w:sz w:val="20"/>
              </w:rPr>
              <w:t xml:space="preserve">Die </w:t>
            </w:r>
            <w:r w:rsidRPr="001D5C1F">
              <w:rPr>
                <w:rFonts w:ascii="Verdana" w:hAnsi="Verdana"/>
                <w:i/>
                <w:sz w:val="20"/>
              </w:rPr>
              <w:t>Jahresrechnung</w:t>
            </w:r>
            <w:r w:rsidRPr="001D5C1F">
              <w:rPr>
                <w:rFonts w:ascii="Verdana" w:hAnsi="Verdana"/>
                <w:sz w:val="20"/>
              </w:rPr>
              <w:t xml:space="preserve"> besteht aus der Bilanz, der Erfolgsrechnung, der Investitionsrechnung, der Geldflussrechnung und dem Anhang. </w:t>
            </w:r>
          </w:p>
        </w:tc>
      </w:tr>
      <w:tr w:rsidR="00670DF6" w:rsidRPr="001D5C1F" w:rsidTr="00337B67">
        <w:tc>
          <w:tcPr>
            <w:tcW w:w="3708" w:type="dxa"/>
          </w:tcPr>
          <w:p w:rsidR="00670DF6" w:rsidRPr="001D5C1F" w:rsidRDefault="00670DF6" w:rsidP="001D5C1F">
            <w:pPr>
              <w:ind w:right="34"/>
              <w:rPr>
                <w:rFonts w:ascii="Verdana" w:hAnsi="Verdana"/>
                <w:b/>
                <w:sz w:val="20"/>
              </w:rPr>
            </w:pPr>
            <w:r w:rsidRPr="001D5C1F">
              <w:rPr>
                <w:rFonts w:ascii="Verdana" w:hAnsi="Verdana"/>
                <w:b/>
                <w:sz w:val="20"/>
              </w:rPr>
              <w:t>Lineare Abschreibungs</w:t>
            </w:r>
            <w:r w:rsidR="00280C32">
              <w:rPr>
                <w:rFonts w:ascii="Verdana" w:hAnsi="Verdana"/>
                <w:b/>
                <w:sz w:val="20"/>
              </w:rPr>
              <w:t>-</w:t>
            </w:r>
            <w:r w:rsidRPr="001D5C1F">
              <w:rPr>
                <w:rFonts w:ascii="Verdana" w:hAnsi="Verdana"/>
                <w:b/>
                <w:sz w:val="20"/>
              </w:rPr>
              <w:t>methode</w:t>
            </w:r>
          </w:p>
        </w:tc>
        <w:tc>
          <w:tcPr>
            <w:tcW w:w="5760" w:type="dxa"/>
          </w:tcPr>
          <w:p w:rsidR="00670DF6" w:rsidRPr="001D5C1F" w:rsidRDefault="00670DF6" w:rsidP="001D5C1F">
            <w:pPr>
              <w:spacing w:after="80"/>
              <w:ind w:left="-52" w:right="34"/>
              <w:rPr>
                <w:rFonts w:ascii="Verdana" w:hAnsi="Verdana"/>
                <w:sz w:val="20"/>
              </w:rPr>
            </w:pPr>
            <w:r w:rsidRPr="001D5C1F">
              <w:rPr>
                <w:rFonts w:ascii="Verdana" w:hAnsi="Verdana"/>
                <w:sz w:val="20"/>
              </w:rPr>
              <w:t xml:space="preserve">Bei der </w:t>
            </w:r>
            <w:r w:rsidRPr="001D5C1F">
              <w:rPr>
                <w:rFonts w:ascii="Verdana" w:hAnsi="Verdana"/>
                <w:i/>
                <w:sz w:val="20"/>
              </w:rPr>
              <w:t>linearen Abschreibungsmethode</w:t>
            </w:r>
            <w:r w:rsidRPr="001D5C1F">
              <w:rPr>
                <w:rFonts w:ascii="Verdana" w:hAnsi="Verdana"/>
                <w:sz w:val="20"/>
              </w:rPr>
              <w:t xml:space="preserve"> wird jedes Jahr derselbe absolute Betr</w:t>
            </w:r>
            <w:r w:rsidR="00B16F3C" w:rsidRPr="001D5C1F">
              <w:rPr>
                <w:rFonts w:ascii="Verdana" w:hAnsi="Verdana"/>
                <w:sz w:val="20"/>
              </w:rPr>
              <w:t>ag abgeschrieben. Der Ab</w:t>
            </w:r>
            <w:r w:rsidR="00B16F3C" w:rsidRPr="001D5C1F">
              <w:rPr>
                <w:rFonts w:ascii="Verdana" w:hAnsi="Verdana"/>
                <w:sz w:val="20"/>
              </w:rPr>
              <w:softHyphen/>
              <w:t>schreibungs</w:t>
            </w:r>
            <w:r w:rsidRPr="001D5C1F">
              <w:rPr>
                <w:rFonts w:ascii="Verdana" w:hAnsi="Verdana"/>
                <w:sz w:val="20"/>
              </w:rPr>
              <w:t>prozentsatz</w:t>
            </w:r>
            <w:r w:rsidR="00B16F3C" w:rsidRPr="001D5C1F">
              <w:rPr>
                <w:rFonts w:ascii="Verdana" w:hAnsi="Verdana"/>
                <w:sz w:val="20"/>
              </w:rPr>
              <w:t xml:space="preserve"> wird auf dem ursprünglichen Anlage</w:t>
            </w:r>
            <w:r w:rsidRPr="001D5C1F">
              <w:rPr>
                <w:rFonts w:ascii="Verdana" w:hAnsi="Verdana"/>
                <w:sz w:val="20"/>
              </w:rPr>
              <w:t>wert und der Nutzungsdauer erhoben.</w:t>
            </w:r>
          </w:p>
        </w:tc>
      </w:tr>
      <w:tr w:rsidR="00670DF6" w:rsidRPr="001D5C1F" w:rsidTr="00337B67">
        <w:tc>
          <w:tcPr>
            <w:tcW w:w="3708" w:type="dxa"/>
          </w:tcPr>
          <w:p w:rsidR="00670DF6" w:rsidRPr="001D5C1F" w:rsidRDefault="00670DF6" w:rsidP="001D5C1F">
            <w:pPr>
              <w:ind w:right="34"/>
              <w:rPr>
                <w:rFonts w:ascii="Verdana" w:hAnsi="Verdana"/>
                <w:b/>
                <w:sz w:val="20"/>
              </w:rPr>
            </w:pPr>
            <w:r w:rsidRPr="001D5C1F">
              <w:rPr>
                <w:rFonts w:ascii="Verdana" w:hAnsi="Verdana"/>
                <w:b/>
                <w:sz w:val="20"/>
              </w:rPr>
              <w:t>Nutzungsdauer</w:t>
            </w:r>
          </w:p>
        </w:tc>
        <w:tc>
          <w:tcPr>
            <w:tcW w:w="5760" w:type="dxa"/>
          </w:tcPr>
          <w:p w:rsidR="00670DF6" w:rsidRPr="001D5C1F" w:rsidRDefault="00670DF6" w:rsidP="001D5C1F">
            <w:pPr>
              <w:spacing w:after="80"/>
              <w:ind w:left="-52" w:right="34"/>
              <w:rPr>
                <w:rFonts w:ascii="Verdana" w:hAnsi="Verdana"/>
                <w:sz w:val="20"/>
              </w:rPr>
            </w:pPr>
            <w:r w:rsidRPr="001D5C1F">
              <w:rPr>
                <w:rFonts w:ascii="Verdana" w:hAnsi="Verdana"/>
                <w:sz w:val="20"/>
              </w:rPr>
              <w:t xml:space="preserve">Die </w:t>
            </w:r>
            <w:r w:rsidRPr="001D5C1F">
              <w:rPr>
                <w:rFonts w:ascii="Verdana" w:hAnsi="Verdana"/>
                <w:i/>
                <w:sz w:val="20"/>
              </w:rPr>
              <w:t>Nutzungsdauer</w:t>
            </w:r>
            <w:r w:rsidRPr="001D5C1F">
              <w:rPr>
                <w:rFonts w:ascii="Verdana" w:hAnsi="Verdana"/>
                <w:sz w:val="20"/>
              </w:rPr>
              <w:t xml:space="preserve"> bezeichnet die Dauer, die ein sich abnützendes Wirtschaftsgut genutzt werden kann. Man unterscheidet die technische Nutzungsdauer und die ökonomische Nutzungs</w:t>
            </w:r>
            <w:r w:rsidR="00B16F3C" w:rsidRPr="001D5C1F">
              <w:rPr>
                <w:rFonts w:ascii="Verdana" w:hAnsi="Verdana"/>
                <w:sz w:val="20"/>
              </w:rPr>
              <w:t>dauer. Die technische Nut</w:t>
            </w:r>
            <w:r w:rsidR="00B16F3C" w:rsidRPr="001D5C1F">
              <w:rPr>
                <w:rFonts w:ascii="Verdana" w:hAnsi="Verdana"/>
                <w:sz w:val="20"/>
              </w:rPr>
              <w:softHyphen/>
              <w:t>zungsdau</w:t>
            </w:r>
            <w:r w:rsidRPr="001D5C1F">
              <w:rPr>
                <w:rFonts w:ascii="Verdana" w:hAnsi="Verdana"/>
                <w:sz w:val="20"/>
              </w:rPr>
              <w:t>er wird durch die tech</w:t>
            </w:r>
            <w:r w:rsidR="00B16F3C" w:rsidRPr="001D5C1F">
              <w:rPr>
                <w:rFonts w:ascii="Verdana" w:hAnsi="Verdana"/>
                <w:sz w:val="20"/>
              </w:rPr>
              <w:t xml:space="preserve">nische Veraltung eines </w:t>
            </w:r>
            <w:r w:rsidR="00B16F3C" w:rsidRPr="001D5C1F">
              <w:rPr>
                <w:rFonts w:ascii="Verdana" w:hAnsi="Verdana"/>
                <w:sz w:val="20"/>
              </w:rPr>
              <w:lastRenderedPageBreak/>
              <w:t>Wirtschafts</w:t>
            </w:r>
            <w:r w:rsidRPr="001D5C1F">
              <w:rPr>
                <w:rFonts w:ascii="Verdana" w:hAnsi="Verdana"/>
                <w:sz w:val="20"/>
              </w:rPr>
              <w:t>guts bestimmt, die ökonomische Nutzungsdauer nach der wirtschaftlich sinnvollen Nutzung. Technische und wirtschaftliche Nutzungsdauer kö</w:t>
            </w:r>
            <w:r w:rsidR="00B16F3C" w:rsidRPr="001D5C1F">
              <w:rPr>
                <w:rFonts w:ascii="Verdana" w:hAnsi="Verdana"/>
                <w:sz w:val="20"/>
              </w:rPr>
              <w:t>nnen sich unterschei</w:t>
            </w:r>
            <w:r w:rsidRPr="001D5C1F">
              <w:rPr>
                <w:rFonts w:ascii="Verdana" w:hAnsi="Verdana"/>
                <w:sz w:val="20"/>
              </w:rPr>
              <w:t>den (z.B. Computer).</w:t>
            </w:r>
          </w:p>
        </w:tc>
      </w:tr>
      <w:tr w:rsidR="00FC33ED" w:rsidRPr="001D5C1F" w:rsidTr="00171B88">
        <w:tc>
          <w:tcPr>
            <w:tcW w:w="3708" w:type="dxa"/>
          </w:tcPr>
          <w:p w:rsidR="00FC33ED" w:rsidRPr="001D5C1F" w:rsidRDefault="00FC33ED" w:rsidP="001D5C1F">
            <w:pPr>
              <w:ind w:right="34"/>
              <w:rPr>
                <w:rFonts w:ascii="Verdana" w:hAnsi="Verdana"/>
                <w:b/>
                <w:sz w:val="20"/>
              </w:rPr>
            </w:pPr>
            <w:r w:rsidRPr="001D5C1F">
              <w:rPr>
                <w:rFonts w:ascii="Verdana" w:hAnsi="Verdana"/>
                <w:b/>
                <w:sz w:val="20"/>
              </w:rPr>
              <w:lastRenderedPageBreak/>
              <w:t>Objektkredit</w:t>
            </w:r>
          </w:p>
        </w:tc>
        <w:tc>
          <w:tcPr>
            <w:tcW w:w="5760" w:type="dxa"/>
          </w:tcPr>
          <w:p w:rsidR="00FC33ED" w:rsidRPr="001D5C1F" w:rsidRDefault="00FC33ED" w:rsidP="001D5C1F">
            <w:pPr>
              <w:spacing w:after="80"/>
              <w:ind w:left="-52" w:right="34"/>
              <w:rPr>
                <w:rFonts w:ascii="Verdana" w:hAnsi="Verdana"/>
                <w:sz w:val="20"/>
              </w:rPr>
            </w:pPr>
            <w:r w:rsidRPr="001D5C1F">
              <w:rPr>
                <w:rFonts w:ascii="Verdana" w:hAnsi="Verdana"/>
                <w:sz w:val="20"/>
              </w:rPr>
              <w:t>Der Objektkredit ist ein Verpflichtungskredit für ein Einzelvorhaben.</w:t>
            </w:r>
          </w:p>
        </w:tc>
      </w:tr>
      <w:tr w:rsidR="00670DF6" w:rsidRPr="001D5C1F" w:rsidTr="00337B67">
        <w:tc>
          <w:tcPr>
            <w:tcW w:w="3708" w:type="dxa"/>
          </w:tcPr>
          <w:p w:rsidR="00670DF6" w:rsidRPr="001D5C1F" w:rsidRDefault="00670DF6" w:rsidP="001D5C1F">
            <w:pPr>
              <w:ind w:right="34"/>
              <w:rPr>
                <w:rFonts w:ascii="Verdana" w:hAnsi="Verdana"/>
                <w:b/>
                <w:sz w:val="20"/>
              </w:rPr>
            </w:pPr>
            <w:r w:rsidRPr="001D5C1F">
              <w:rPr>
                <w:rFonts w:ascii="Verdana" w:hAnsi="Verdana"/>
                <w:b/>
                <w:sz w:val="20"/>
              </w:rPr>
              <w:t>Operativer Erfolg</w:t>
            </w:r>
          </w:p>
        </w:tc>
        <w:tc>
          <w:tcPr>
            <w:tcW w:w="5760" w:type="dxa"/>
          </w:tcPr>
          <w:p w:rsidR="00670DF6" w:rsidRPr="001D5C1F" w:rsidRDefault="00670DF6" w:rsidP="001D5C1F">
            <w:pPr>
              <w:spacing w:after="80"/>
              <w:ind w:left="-52" w:right="34"/>
              <w:rPr>
                <w:rFonts w:ascii="Verdana" w:hAnsi="Verdana"/>
                <w:sz w:val="20"/>
              </w:rPr>
            </w:pPr>
            <w:r w:rsidRPr="001D5C1F">
              <w:rPr>
                <w:rFonts w:ascii="Verdana" w:hAnsi="Verdana"/>
                <w:sz w:val="20"/>
              </w:rPr>
              <w:t xml:space="preserve">Der </w:t>
            </w:r>
            <w:r w:rsidRPr="001D5C1F">
              <w:rPr>
                <w:rFonts w:ascii="Verdana" w:hAnsi="Verdana"/>
                <w:i/>
                <w:sz w:val="20"/>
              </w:rPr>
              <w:t>operative Erfolg</w:t>
            </w:r>
            <w:r w:rsidRPr="001D5C1F">
              <w:rPr>
                <w:rFonts w:ascii="Verdana" w:hAnsi="Verdana"/>
                <w:sz w:val="20"/>
              </w:rPr>
              <w:t xml:space="preserve"> ist der Erfolg aus der operativen Tätigkeit des Gemeinwesens. Es ist die Summe aus dem Ergebnis aus betrieblicher Tätigkeit und dem Ergebnis aus Finanzierung. Er unterscheidet sich vom ausserordentlichen Erfolg, da er der regelmässigen Betriebstätigkeit entspringt und nicht ausserordentlich anfällt (Synonym: ordentlicher Erfolg).</w:t>
            </w:r>
          </w:p>
        </w:tc>
      </w:tr>
      <w:tr w:rsidR="00670DF6" w:rsidRPr="001D5C1F" w:rsidTr="00337B67">
        <w:tc>
          <w:tcPr>
            <w:tcW w:w="3708" w:type="dxa"/>
          </w:tcPr>
          <w:p w:rsidR="00670DF6" w:rsidRPr="001D5C1F" w:rsidRDefault="00670DF6" w:rsidP="001D5C1F">
            <w:pPr>
              <w:ind w:right="34"/>
              <w:rPr>
                <w:rFonts w:ascii="Verdana" w:hAnsi="Verdana"/>
                <w:b/>
                <w:sz w:val="20"/>
              </w:rPr>
            </w:pPr>
            <w:r w:rsidRPr="001D5C1F">
              <w:rPr>
                <w:rFonts w:ascii="Verdana" w:hAnsi="Verdana"/>
                <w:b/>
                <w:sz w:val="20"/>
              </w:rPr>
              <w:t>Passive Rechnungs</w:t>
            </w:r>
            <w:r w:rsidR="00280C32">
              <w:rPr>
                <w:rFonts w:ascii="Verdana" w:hAnsi="Verdana"/>
                <w:b/>
                <w:sz w:val="20"/>
              </w:rPr>
              <w:t>-</w:t>
            </w:r>
            <w:r w:rsidRPr="001D5C1F">
              <w:rPr>
                <w:rFonts w:ascii="Verdana" w:hAnsi="Verdana"/>
                <w:b/>
                <w:sz w:val="20"/>
              </w:rPr>
              <w:t>abgrenzung</w:t>
            </w:r>
          </w:p>
        </w:tc>
        <w:tc>
          <w:tcPr>
            <w:tcW w:w="5760" w:type="dxa"/>
          </w:tcPr>
          <w:p w:rsidR="00670DF6" w:rsidRPr="001D5C1F" w:rsidRDefault="00670DF6" w:rsidP="001D5C1F">
            <w:pPr>
              <w:spacing w:after="80"/>
              <w:ind w:left="-52" w:right="34"/>
              <w:rPr>
                <w:rFonts w:ascii="Verdana" w:hAnsi="Verdana"/>
                <w:sz w:val="20"/>
              </w:rPr>
            </w:pPr>
            <w:r w:rsidRPr="001D5C1F">
              <w:rPr>
                <w:rFonts w:ascii="Verdana" w:hAnsi="Verdana"/>
                <w:i/>
                <w:sz w:val="20"/>
              </w:rPr>
              <w:t>Passive Rechnungsabgrenzungen</w:t>
            </w:r>
            <w:r w:rsidRPr="001D5C1F">
              <w:rPr>
                <w:rFonts w:ascii="Verdana" w:hAnsi="Verdana"/>
                <w:sz w:val="20"/>
              </w:rPr>
              <w:t xml:space="preserve"> sind Rechnungs</w:t>
            </w:r>
            <w:r w:rsidRPr="001D5C1F">
              <w:rPr>
                <w:rFonts w:ascii="Verdana" w:hAnsi="Verdana"/>
                <w:sz w:val="20"/>
              </w:rPr>
              <w:softHyphen/>
              <w:t>ab</w:t>
            </w:r>
            <w:r w:rsidRPr="001D5C1F">
              <w:rPr>
                <w:rFonts w:ascii="Verdana" w:hAnsi="Verdana"/>
                <w:sz w:val="20"/>
              </w:rPr>
              <w:softHyphen/>
              <w:t>gren</w:t>
            </w:r>
            <w:r w:rsidRPr="001D5C1F">
              <w:rPr>
                <w:rFonts w:ascii="Verdana" w:hAnsi="Verdana"/>
                <w:sz w:val="20"/>
              </w:rPr>
              <w:softHyphen/>
              <w:t>zungen, bei denen ein Auseinanderliegen von Wertverzehr bzw. –zuwachs und Zahlung besteht. Dies kann entweder bei noch zu leistenden Zahlungen der Fall sein, welche noch zum alten Rechnungsjahr gehören (antizipative Passiva) oder bei Erträgen, welche im Voraus eingegangen sind (transitorische Passiva im engeren Sinne).</w:t>
            </w:r>
          </w:p>
        </w:tc>
      </w:tr>
      <w:tr w:rsidR="00670DF6" w:rsidRPr="001D5C1F" w:rsidTr="00337B67">
        <w:tc>
          <w:tcPr>
            <w:tcW w:w="3708" w:type="dxa"/>
          </w:tcPr>
          <w:p w:rsidR="00670DF6" w:rsidRPr="001D5C1F" w:rsidRDefault="00670DF6" w:rsidP="001D5C1F">
            <w:pPr>
              <w:ind w:right="79"/>
              <w:rPr>
                <w:rFonts w:ascii="Verdana" w:hAnsi="Verdana"/>
                <w:b/>
                <w:sz w:val="20"/>
              </w:rPr>
            </w:pPr>
            <w:r w:rsidRPr="001D5C1F">
              <w:rPr>
                <w:rFonts w:ascii="Verdana" w:hAnsi="Verdana"/>
                <w:b/>
                <w:sz w:val="20"/>
              </w:rPr>
              <w:t>Passiven</w:t>
            </w:r>
          </w:p>
        </w:tc>
        <w:tc>
          <w:tcPr>
            <w:tcW w:w="5760" w:type="dxa"/>
          </w:tcPr>
          <w:p w:rsidR="00670DF6" w:rsidRPr="001D5C1F" w:rsidRDefault="00670DF6" w:rsidP="001D5C1F">
            <w:pPr>
              <w:spacing w:after="80"/>
              <w:ind w:left="-52" w:right="34"/>
              <w:rPr>
                <w:rFonts w:ascii="Verdana" w:hAnsi="Verdana"/>
                <w:sz w:val="20"/>
              </w:rPr>
            </w:pPr>
            <w:r w:rsidRPr="001D5C1F">
              <w:rPr>
                <w:rFonts w:ascii="Verdana" w:hAnsi="Verdana"/>
                <w:sz w:val="20"/>
              </w:rPr>
              <w:t>Die Passiven befinden sich auf der rechten Seite der Bilanz. Auf der Passivseite wird ausgewiesen, auf welche Weise das Kapital (d.h. die finanziellen Mittel) im Rah</w:t>
            </w:r>
            <w:r w:rsidR="00FC33ED" w:rsidRPr="001D5C1F">
              <w:rPr>
                <w:rFonts w:ascii="Verdana" w:hAnsi="Verdana"/>
                <w:sz w:val="20"/>
              </w:rPr>
              <w:t>men der Finanzierung (Mittelbe</w:t>
            </w:r>
            <w:r w:rsidRPr="001D5C1F">
              <w:rPr>
                <w:rFonts w:ascii="Verdana" w:hAnsi="Verdana"/>
                <w:sz w:val="20"/>
              </w:rPr>
              <w:t>schaffung) beschafft wurde. Die Passiven unterteilen sich zumeist in die beiden Hauptkategorien Fremdkapital und Eigenkapital. Das Fremdkapital besteht im allgemeinen aus rechtlich einforderbaren Rückzahlungs</w:t>
            </w:r>
            <w:r w:rsidRPr="001D5C1F">
              <w:rPr>
                <w:rFonts w:ascii="Verdana" w:hAnsi="Verdana"/>
                <w:sz w:val="20"/>
              </w:rPr>
              <w:softHyphen/>
              <w:t>verpflichtungen, wäh</w:t>
            </w:r>
            <w:r w:rsidRPr="001D5C1F">
              <w:rPr>
                <w:rFonts w:ascii="Verdana" w:hAnsi="Verdana"/>
                <w:sz w:val="20"/>
              </w:rPr>
              <w:softHyphen/>
              <w:t>rend für das Eigenkapital keine Rückzahlungsverpflichtung besteht.</w:t>
            </w:r>
          </w:p>
        </w:tc>
      </w:tr>
      <w:tr w:rsidR="00843CD7" w:rsidRPr="001D5C1F" w:rsidTr="00171B88">
        <w:tc>
          <w:tcPr>
            <w:tcW w:w="3708" w:type="dxa"/>
          </w:tcPr>
          <w:p w:rsidR="00843CD7" w:rsidRPr="001D5C1F" w:rsidRDefault="00843CD7" w:rsidP="001D5C1F">
            <w:pPr>
              <w:ind w:right="34"/>
              <w:rPr>
                <w:rFonts w:ascii="Verdana" w:hAnsi="Verdana"/>
                <w:b/>
                <w:sz w:val="20"/>
              </w:rPr>
            </w:pPr>
            <w:r w:rsidRPr="001D5C1F">
              <w:rPr>
                <w:rFonts w:ascii="Verdana" w:hAnsi="Verdana"/>
                <w:b/>
                <w:sz w:val="20"/>
              </w:rPr>
              <w:t>Rückstellungen</w:t>
            </w:r>
          </w:p>
        </w:tc>
        <w:tc>
          <w:tcPr>
            <w:tcW w:w="5760" w:type="dxa"/>
          </w:tcPr>
          <w:p w:rsidR="00843CD7" w:rsidRPr="001D5C1F" w:rsidRDefault="00DF4B20" w:rsidP="001D5C1F">
            <w:pPr>
              <w:spacing w:after="80"/>
              <w:ind w:left="-52" w:right="34"/>
              <w:rPr>
                <w:rFonts w:ascii="Verdana" w:hAnsi="Verdana"/>
                <w:sz w:val="20"/>
              </w:rPr>
            </w:pPr>
            <w:r w:rsidRPr="001D5C1F">
              <w:rPr>
                <w:rFonts w:ascii="Verdana" w:hAnsi="Verdana"/>
                <w:i/>
                <w:sz w:val="20"/>
              </w:rPr>
              <w:t>Rückstellungen</w:t>
            </w:r>
            <w:r w:rsidRPr="001D5C1F">
              <w:rPr>
                <w:rFonts w:ascii="Verdana" w:hAnsi="Verdana"/>
                <w:sz w:val="20"/>
              </w:rPr>
              <w:t xml:space="preserve"> sind bereits feststehende, in ihrer Höhe noch nicht genau bekannte Verpflichtungen, deren Berücksichtigung zur Feststellung von Aufwand oder Ausgaben am Ende der Rechungsperiode notwendig sind.</w:t>
            </w:r>
          </w:p>
        </w:tc>
      </w:tr>
      <w:tr w:rsidR="00670DF6" w:rsidRPr="001D5C1F" w:rsidTr="00337B67">
        <w:tc>
          <w:tcPr>
            <w:tcW w:w="3708" w:type="dxa"/>
          </w:tcPr>
          <w:p w:rsidR="00670DF6" w:rsidRPr="001D5C1F" w:rsidRDefault="00670DF6" w:rsidP="001D5C1F">
            <w:pPr>
              <w:ind w:right="34"/>
              <w:rPr>
                <w:rFonts w:ascii="Verdana" w:hAnsi="Verdana"/>
                <w:b/>
                <w:sz w:val="20"/>
              </w:rPr>
            </w:pPr>
            <w:r w:rsidRPr="001D5C1F">
              <w:rPr>
                <w:rFonts w:ascii="Verdana" w:hAnsi="Verdana"/>
                <w:b/>
                <w:sz w:val="20"/>
              </w:rPr>
              <w:t>Qualitative Bindung</w:t>
            </w:r>
          </w:p>
        </w:tc>
        <w:tc>
          <w:tcPr>
            <w:tcW w:w="5760" w:type="dxa"/>
          </w:tcPr>
          <w:p w:rsidR="00670DF6" w:rsidRPr="001D5C1F" w:rsidRDefault="00670DF6" w:rsidP="001D5C1F">
            <w:pPr>
              <w:spacing w:after="80"/>
              <w:ind w:left="-52" w:right="34"/>
              <w:rPr>
                <w:rFonts w:ascii="Verdana" w:hAnsi="Verdana"/>
                <w:sz w:val="20"/>
              </w:rPr>
            </w:pPr>
            <w:r w:rsidRPr="001D5C1F">
              <w:rPr>
                <w:rFonts w:ascii="Verdana" w:hAnsi="Verdana"/>
                <w:sz w:val="20"/>
              </w:rPr>
              <w:t xml:space="preserve">Der Grundsatz der </w:t>
            </w:r>
            <w:r w:rsidRPr="001D5C1F">
              <w:rPr>
                <w:rFonts w:ascii="Verdana" w:hAnsi="Verdana"/>
                <w:i/>
                <w:sz w:val="20"/>
              </w:rPr>
              <w:t>qualitativen Bindung</w:t>
            </w:r>
            <w:r w:rsidRPr="001D5C1F">
              <w:rPr>
                <w:rFonts w:ascii="Verdana" w:hAnsi="Verdana"/>
                <w:sz w:val="20"/>
              </w:rPr>
              <w:t xml:space="preserve"> besagt, dass Kredite für den im Konto umschriebenen Zweck verwendet werden müssen.</w:t>
            </w:r>
          </w:p>
        </w:tc>
      </w:tr>
      <w:tr w:rsidR="00670DF6" w:rsidRPr="001D5C1F" w:rsidTr="00337B67">
        <w:tc>
          <w:tcPr>
            <w:tcW w:w="3708" w:type="dxa"/>
          </w:tcPr>
          <w:p w:rsidR="00670DF6" w:rsidRPr="001D5C1F" w:rsidRDefault="00670DF6" w:rsidP="001D5C1F">
            <w:pPr>
              <w:ind w:right="34"/>
              <w:rPr>
                <w:rFonts w:ascii="Verdana" w:hAnsi="Verdana"/>
                <w:b/>
                <w:sz w:val="20"/>
              </w:rPr>
            </w:pPr>
            <w:r w:rsidRPr="001D5C1F">
              <w:rPr>
                <w:rFonts w:ascii="Verdana" w:hAnsi="Verdana"/>
                <w:b/>
                <w:sz w:val="20"/>
              </w:rPr>
              <w:t>Quantitative Bindung</w:t>
            </w:r>
          </w:p>
        </w:tc>
        <w:tc>
          <w:tcPr>
            <w:tcW w:w="5760" w:type="dxa"/>
          </w:tcPr>
          <w:p w:rsidR="00670DF6" w:rsidRPr="001D5C1F" w:rsidRDefault="00670DF6" w:rsidP="001D5C1F">
            <w:pPr>
              <w:spacing w:after="80"/>
              <w:ind w:left="-52" w:right="34"/>
              <w:rPr>
                <w:rFonts w:ascii="Verdana" w:hAnsi="Verdana"/>
                <w:sz w:val="20"/>
              </w:rPr>
            </w:pPr>
            <w:r w:rsidRPr="001D5C1F">
              <w:rPr>
                <w:rFonts w:ascii="Verdana" w:hAnsi="Verdana"/>
                <w:sz w:val="20"/>
              </w:rPr>
              <w:t xml:space="preserve">Der Grundsatz der </w:t>
            </w:r>
            <w:r w:rsidRPr="001D5C1F">
              <w:rPr>
                <w:rFonts w:ascii="Verdana" w:hAnsi="Verdana"/>
                <w:i/>
                <w:sz w:val="20"/>
              </w:rPr>
              <w:t>quantitativen Bindung</w:t>
            </w:r>
            <w:r w:rsidRPr="001D5C1F">
              <w:rPr>
                <w:rFonts w:ascii="Verdana" w:hAnsi="Verdana"/>
                <w:sz w:val="20"/>
              </w:rPr>
              <w:t xml:space="preserve"> besagt, dass grundsätzlich der bewilligte Kreditbetrag nicht überschritten werden soll.</w:t>
            </w:r>
          </w:p>
        </w:tc>
      </w:tr>
      <w:tr w:rsidR="00670DF6" w:rsidRPr="001D5C1F" w:rsidTr="00337B67">
        <w:tc>
          <w:tcPr>
            <w:tcW w:w="3708" w:type="dxa"/>
          </w:tcPr>
          <w:p w:rsidR="00670DF6" w:rsidRPr="001D5C1F" w:rsidRDefault="00670DF6" w:rsidP="001D5C1F">
            <w:pPr>
              <w:ind w:right="34"/>
              <w:rPr>
                <w:rFonts w:ascii="Verdana" w:hAnsi="Verdana"/>
                <w:b/>
                <w:sz w:val="20"/>
              </w:rPr>
            </w:pPr>
            <w:r w:rsidRPr="001D5C1F">
              <w:rPr>
                <w:rFonts w:ascii="Verdana" w:hAnsi="Verdana"/>
                <w:b/>
                <w:sz w:val="20"/>
              </w:rPr>
              <w:t>Saldo der Erfolgsrechnung</w:t>
            </w:r>
          </w:p>
        </w:tc>
        <w:tc>
          <w:tcPr>
            <w:tcW w:w="5760" w:type="dxa"/>
          </w:tcPr>
          <w:p w:rsidR="00670DF6" w:rsidRPr="001D5C1F" w:rsidRDefault="00670DF6" w:rsidP="001D5C1F">
            <w:pPr>
              <w:spacing w:after="80"/>
              <w:ind w:left="-52" w:right="34"/>
              <w:rPr>
                <w:rFonts w:ascii="Verdana" w:hAnsi="Verdana"/>
                <w:sz w:val="20"/>
              </w:rPr>
            </w:pPr>
            <w:r w:rsidRPr="001D5C1F">
              <w:rPr>
                <w:rFonts w:ascii="Verdana" w:hAnsi="Verdana"/>
                <w:sz w:val="20"/>
              </w:rPr>
              <w:t xml:space="preserve">Der </w:t>
            </w:r>
            <w:r w:rsidRPr="001D5C1F">
              <w:rPr>
                <w:rFonts w:ascii="Verdana" w:hAnsi="Verdana"/>
                <w:i/>
                <w:sz w:val="20"/>
              </w:rPr>
              <w:t>Saldo der Erfolgsrechnung</w:t>
            </w:r>
            <w:r w:rsidRPr="001D5C1F">
              <w:rPr>
                <w:rFonts w:ascii="Verdana" w:hAnsi="Verdana"/>
                <w:sz w:val="20"/>
              </w:rPr>
              <w:t>, auch Gesamtergebnis der Erfolgsrechnung, ist die Differenz zwischen Erträgen und Aufwände in einer Rechnungsperiode.</w:t>
            </w:r>
          </w:p>
        </w:tc>
      </w:tr>
      <w:tr w:rsidR="00670DF6" w:rsidRPr="001D5C1F" w:rsidTr="00337B67">
        <w:tc>
          <w:tcPr>
            <w:tcW w:w="3708" w:type="dxa"/>
          </w:tcPr>
          <w:p w:rsidR="00670DF6" w:rsidRPr="001D5C1F" w:rsidRDefault="00670DF6" w:rsidP="001D5C1F">
            <w:pPr>
              <w:ind w:right="79"/>
              <w:rPr>
                <w:rFonts w:ascii="Verdana" w:hAnsi="Verdana"/>
                <w:b/>
                <w:sz w:val="20"/>
              </w:rPr>
            </w:pPr>
            <w:r w:rsidRPr="001D5C1F">
              <w:rPr>
                <w:rFonts w:ascii="Verdana" w:hAnsi="Verdana"/>
                <w:b/>
                <w:sz w:val="20"/>
              </w:rPr>
              <w:t>Selbstfinanzierung</w:t>
            </w:r>
          </w:p>
        </w:tc>
        <w:tc>
          <w:tcPr>
            <w:tcW w:w="5760" w:type="dxa"/>
          </w:tcPr>
          <w:p w:rsidR="00670DF6" w:rsidRPr="001D5C1F" w:rsidRDefault="00670DF6" w:rsidP="001D5C1F">
            <w:pPr>
              <w:spacing w:after="80"/>
              <w:ind w:left="-52" w:right="34"/>
              <w:rPr>
                <w:rFonts w:ascii="Verdana" w:hAnsi="Verdana"/>
                <w:sz w:val="20"/>
              </w:rPr>
            </w:pPr>
            <w:r w:rsidRPr="001D5C1F">
              <w:rPr>
                <w:rFonts w:ascii="Verdana" w:hAnsi="Verdana"/>
                <w:sz w:val="20"/>
              </w:rPr>
              <w:t xml:space="preserve">Die </w:t>
            </w:r>
            <w:r w:rsidRPr="001D5C1F">
              <w:rPr>
                <w:rFonts w:ascii="Verdana" w:hAnsi="Verdana"/>
                <w:i/>
                <w:sz w:val="20"/>
              </w:rPr>
              <w:t>Selbstfinanzierung</w:t>
            </w:r>
            <w:r w:rsidRPr="001D5C1F">
              <w:rPr>
                <w:rFonts w:ascii="Verdana" w:hAnsi="Verdana"/>
                <w:sz w:val="20"/>
              </w:rPr>
              <w:t xml:space="preserve"> ist eine Kennzahl, welche definiert wird als die Summe aus dem Saldo der Erfolgsrechnung und den Abschreibungen. </w:t>
            </w:r>
          </w:p>
        </w:tc>
      </w:tr>
      <w:tr w:rsidR="00843CD7" w:rsidRPr="001D5C1F" w:rsidTr="00171B88">
        <w:tc>
          <w:tcPr>
            <w:tcW w:w="3708" w:type="dxa"/>
          </w:tcPr>
          <w:p w:rsidR="00843CD7" w:rsidRPr="001D5C1F" w:rsidRDefault="00843CD7" w:rsidP="001D5C1F">
            <w:pPr>
              <w:ind w:right="34"/>
              <w:rPr>
                <w:rFonts w:ascii="Verdana" w:hAnsi="Verdana"/>
                <w:b/>
                <w:sz w:val="20"/>
              </w:rPr>
            </w:pPr>
            <w:r w:rsidRPr="001D5C1F">
              <w:rPr>
                <w:rFonts w:ascii="Verdana" w:hAnsi="Verdana"/>
                <w:b/>
                <w:sz w:val="20"/>
              </w:rPr>
              <w:t>Selbstfinanzierungsanteil</w:t>
            </w:r>
          </w:p>
        </w:tc>
        <w:tc>
          <w:tcPr>
            <w:tcW w:w="5760" w:type="dxa"/>
          </w:tcPr>
          <w:p w:rsidR="00843CD7" w:rsidRPr="001D5C1F" w:rsidRDefault="001D5C1F" w:rsidP="001D5C1F">
            <w:pPr>
              <w:spacing w:after="80"/>
              <w:ind w:left="-52" w:right="34"/>
              <w:rPr>
                <w:rFonts w:ascii="Verdana" w:hAnsi="Verdana"/>
                <w:sz w:val="20"/>
              </w:rPr>
            </w:pPr>
            <w:r w:rsidRPr="001D5C1F">
              <w:rPr>
                <w:rFonts w:ascii="Verdana" w:hAnsi="Verdana"/>
                <w:sz w:val="20"/>
              </w:rPr>
              <w:t xml:space="preserve">Der </w:t>
            </w:r>
            <w:r w:rsidRPr="001D5C1F">
              <w:rPr>
                <w:rFonts w:ascii="Verdana" w:hAnsi="Verdana"/>
                <w:i/>
                <w:sz w:val="20"/>
              </w:rPr>
              <w:t>Selbstfinanzierungsanteil</w:t>
            </w:r>
            <w:r w:rsidRPr="001D5C1F">
              <w:rPr>
                <w:rFonts w:ascii="Verdana" w:hAnsi="Verdana"/>
                <w:sz w:val="20"/>
              </w:rPr>
              <w:t xml:space="preserve"> zeigt, welcher Anteil des gesamten Ertrages geldwirksam für die Finanzierung von Investitionen und / oder zur Rückzahlung von Darlehen verwendet werden kann.</w:t>
            </w:r>
          </w:p>
        </w:tc>
      </w:tr>
      <w:tr w:rsidR="00843CD7" w:rsidRPr="001D5C1F" w:rsidTr="00171B88">
        <w:tc>
          <w:tcPr>
            <w:tcW w:w="3708" w:type="dxa"/>
          </w:tcPr>
          <w:p w:rsidR="00843CD7" w:rsidRPr="001D5C1F" w:rsidRDefault="00843CD7" w:rsidP="001D5C1F">
            <w:pPr>
              <w:ind w:right="34"/>
              <w:rPr>
                <w:rFonts w:ascii="Verdana" w:hAnsi="Verdana"/>
                <w:b/>
                <w:sz w:val="20"/>
              </w:rPr>
            </w:pPr>
            <w:r w:rsidRPr="001D5C1F">
              <w:rPr>
                <w:rFonts w:ascii="Verdana" w:hAnsi="Verdana"/>
                <w:b/>
                <w:sz w:val="20"/>
              </w:rPr>
              <w:t>Selbstfinanzierungsgrad</w:t>
            </w:r>
          </w:p>
        </w:tc>
        <w:tc>
          <w:tcPr>
            <w:tcW w:w="5760" w:type="dxa"/>
          </w:tcPr>
          <w:p w:rsidR="00843CD7" w:rsidRPr="001D5C1F" w:rsidRDefault="001D5C1F" w:rsidP="001D5C1F">
            <w:pPr>
              <w:spacing w:after="80"/>
              <w:ind w:left="-52" w:right="34"/>
              <w:rPr>
                <w:rFonts w:ascii="Verdana" w:hAnsi="Verdana"/>
                <w:sz w:val="20"/>
              </w:rPr>
            </w:pPr>
            <w:r w:rsidRPr="001D5C1F">
              <w:rPr>
                <w:rFonts w:ascii="Verdana" w:hAnsi="Verdana"/>
                <w:sz w:val="20"/>
              </w:rPr>
              <w:t xml:space="preserve">Der </w:t>
            </w:r>
            <w:r w:rsidRPr="001D5C1F">
              <w:rPr>
                <w:rFonts w:ascii="Verdana" w:hAnsi="Verdana"/>
                <w:i/>
                <w:sz w:val="20"/>
              </w:rPr>
              <w:t>Selbstfinanzierungsgrad</w:t>
            </w:r>
            <w:r w:rsidRPr="001D5C1F">
              <w:rPr>
                <w:rFonts w:ascii="Verdana" w:hAnsi="Verdana"/>
                <w:sz w:val="20"/>
              </w:rPr>
              <w:t xml:space="preserve"> zeigt die Selbstfinanzierung in Prozenten der Nettoinvestitionen. Die Kennzahl </w:t>
            </w:r>
            <w:r w:rsidRPr="001D5C1F">
              <w:rPr>
                <w:rFonts w:ascii="Verdana" w:hAnsi="Verdana"/>
                <w:sz w:val="20"/>
              </w:rPr>
              <w:lastRenderedPageBreak/>
              <w:t>zeigt, wie weit die Investitionen aus selbst erarbeiteten Mitteln bezahlt werden können.</w:t>
            </w:r>
          </w:p>
        </w:tc>
      </w:tr>
      <w:tr w:rsidR="00670DF6" w:rsidRPr="001D5C1F" w:rsidTr="00337B67">
        <w:tc>
          <w:tcPr>
            <w:tcW w:w="3708" w:type="dxa"/>
          </w:tcPr>
          <w:p w:rsidR="00670DF6" w:rsidRPr="001D5C1F" w:rsidRDefault="00670DF6" w:rsidP="001D5C1F">
            <w:pPr>
              <w:ind w:right="34"/>
              <w:rPr>
                <w:rFonts w:ascii="Verdana" w:hAnsi="Verdana"/>
                <w:b/>
                <w:sz w:val="20"/>
              </w:rPr>
            </w:pPr>
            <w:r w:rsidRPr="001D5C1F">
              <w:rPr>
                <w:rFonts w:ascii="Verdana" w:hAnsi="Verdana"/>
                <w:b/>
                <w:sz w:val="20"/>
              </w:rPr>
              <w:lastRenderedPageBreak/>
              <w:t>Sollverbuchung</w:t>
            </w:r>
          </w:p>
        </w:tc>
        <w:tc>
          <w:tcPr>
            <w:tcW w:w="5760" w:type="dxa"/>
          </w:tcPr>
          <w:p w:rsidR="00670DF6" w:rsidRPr="001D5C1F" w:rsidRDefault="00670DF6" w:rsidP="001D5C1F">
            <w:pPr>
              <w:spacing w:after="80"/>
              <w:ind w:left="-52" w:right="34"/>
              <w:rPr>
                <w:rFonts w:ascii="Verdana" w:hAnsi="Verdana"/>
                <w:sz w:val="20"/>
              </w:rPr>
            </w:pPr>
            <w:r w:rsidRPr="001D5C1F">
              <w:rPr>
                <w:rFonts w:ascii="Verdana" w:hAnsi="Verdana"/>
                <w:sz w:val="20"/>
              </w:rPr>
              <w:t xml:space="preserve">Das </w:t>
            </w:r>
            <w:r w:rsidRPr="001D5C1F">
              <w:rPr>
                <w:rFonts w:ascii="Verdana" w:hAnsi="Verdana"/>
                <w:i/>
                <w:iCs/>
                <w:sz w:val="20"/>
              </w:rPr>
              <w:t xml:space="preserve">Soll-Prinzip </w:t>
            </w:r>
            <w:r w:rsidRPr="001D5C1F">
              <w:rPr>
                <w:rFonts w:ascii="Verdana" w:hAnsi="Verdana"/>
                <w:sz w:val="20"/>
              </w:rPr>
              <w:t xml:space="preserve">sieht die Verbuchung von ausgestellten Rechnungen oder eingegangenen Rechnungen vor. </w:t>
            </w:r>
          </w:p>
        </w:tc>
      </w:tr>
      <w:tr w:rsidR="00670DF6" w:rsidRPr="001D5C1F" w:rsidTr="00337B67">
        <w:tc>
          <w:tcPr>
            <w:tcW w:w="3708" w:type="dxa"/>
          </w:tcPr>
          <w:p w:rsidR="00670DF6" w:rsidRPr="001D5C1F" w:rsidRDefault="00670DF6" w:rsidP="001D5C1F">
            <w:pPr>
              <w:ind w:right="34"/>
              <w:rPr>
                <w:rFonts w:ascii="Verdana" w:hAnsi="Verdana"/>
                <w:b/>
                <w:sz w:val="20"/>
              </w:rPr>
            </w:pPr>
            <w:r w:rsidRPr="001D5C1F">
              <w:rPr>
                <w:rFonts w:ascii="Verdana" w:hAnsi="Verdana"/>
                <w:b/>
                <w:sz w:val="20"/>
              </w:rPr>
              <w:t>Spezialfinanzierungen</w:t>
            </w:r>
          </w:p>
        </w:tc>
        <w:tc>
          <w:tcPr>
            <w:tcW w:w="5760" w:type="dxa"/>
          </w:tcPr>
          <w:p w:rsidR="00670DF6" w:rsidRPr="001D5C1F" w:rsidRDefault="00670DF6" w:rsidP="001D5C1F">
            <w:pPr>
              <w:spacing w:after="80"/>
              <w:ind w:left="-52" w:right="34"/>
              <w:rPr>
                <w:rFonts w:ascii="Verdana" w:hAnsi="Verdana"/>
                <w:sz w:val="20"/>
              </w:rPr>
            </w:pPr>
            <w:r w:rsidRPr="001D5C1F">
              <w:rPr>
                <w:rFonts w:ascii="Verdana" w:hAnsi="Verdana"/>
                <w:sz w:val="20"/>
              </w:rPr>
              <w:t xml:space="preserve">Eine </w:t>
            </w:r>
            <w:r w:rsidRPr="001D5C1F">
              <w:rPr>
                <w:rFonts w:ascii="Verdana" w:hAnsi="Verdana"/>
                <w:i/>
                <w:sz w:val="20"/>
              </w:rPr>
              <w:t>Spezialfinanzierung</w:t>
            </w:r>
            <w:r w:rsidRPr="001D5C1F">
              <w:rPr>
                <w:rFonts w:ascii="Verdana" w:hAnsi="Verdana"/>
                <w:sz w:val="20"/>
              </w:rPr>
              <w:t xml:space="preserve"> ist die vollständige oder teilweise Zweckbindung von Einnahmen für bestimmte Aufgaben.</w:t>
            </w:r>
          </w:p>
        </w:tc>
      </w:tr>
      <w:tr w:rsidR="00670DF6" w:rsidRPr="001D5C1F" w:rsidTr="00337B67">
        <w:tc>
          <w:tcPr>
            <w:tcW w:w="3708" w:type="dxa"/>
          </w:tcPr>
          <w:p w:rsidR="00670DF6" w:rsidRPr="001D5C1F" w:rsidRDefault="00670DF6" w:rsidP="001D5C1F">
            <w:pPr>
              <w:ind w:right="34"/>
              <w:rPr>
                <w:rFonts w:ascii="Verdana" w:hAnsi="Verdana"/>
                <w:b/>
                <w:strike/>
                <w:sz w:val="20"/>
              </w:rPr>
            </w:pPr>
            <w:r w:rsidRPr="001D5C1F">
              <w:rPr>
                <w:rFonts w:ascii="Verdana" w:hAnsi="Verdana"/>
                <w:b/>
                <w:sz w:val="20"/>
              </w:rPr>
              <w:t xml:space="preserve">True and Fair View </w:t>
            </w:r>
          </w:p>
        </w:tc>
        <w:tc>
          <w:tcPr>
            <w:tcW w:w="5760" w:type="dxa"/>
          </w:tcPr>
          <w:p w:rsidR="00670DF6" w:rsidRPr="001D5C1F" w:rsidRDefault="00670DF6" w:rsidP="001D5C1F">
            <w:pPr>
              <w:spacing w:after="80"/>
              <w:ind w:left="-52" w:right="34"/>
              <w:rPr>
                <w:rFonts w:ascii="Verdana" w:hAnsi="Verdana"/>
                <w:sz w:val="20"/>
                <w:lang w:val="de-DE"/>
              </w:rPr>
            </w:pPr>
            <w:r w:rsidRPr="001D5C1F">
              <w:rPr>
                <w:rFonts w:ascii="Verdana" w:hAnsi="Verdana"/>
                <w:sz w:val="20"/>
                <w:lang w:val="de-DE"/>
              </w:rPr>
              <w:t>Das Prinzip der "</w:t>
            </w:r>
            <w:r w:rsidRPr="001D5C1F">
              <w:rPr>
                <w:rFonts w:ascii="Verdana" w:hAnsi="Verdana"/>
                <w:i/>
                <w:sz w:val="20"/>
                <w:lang w:val="de-DE"/>
              </w:rPr>
              <w:t>True and Fair View</w:t>
            </w:r>
            <w:r w:rsidRPr="001D5C1F">
              <w:rPr>
                <w:rFonts w:ascii="Verdana" w:hAnsi="Verdana"/>
                <w:sz w:val="20"/>
                <w:lang w:val="de-DE"/>
              </w:rPr>
              <w:t>" ist ein übergeordnetes Rechnungslegungsprinzip, welches besagt, dass die finanziellen Vorgänge tatsachengetreu dargestellt werden sollen.</w:t>
            </w:r>
          </w:p>
        </w:tc>
      </w:tr>
      <w:tr w:rsidR="00843CD7" w:rsidRPr="001D5C1F" w:rsidTr="00171B88">
        <w:tc>
          <w:tcPr>
            <w:tcW w:w="3708" w:type="dxa"/>
          </w:tcPr>
          <w:p w:rsidR="00843CD7" w:rsidRPr="001D5C1F" w:rsidRDefault="00843CD7" w:rsidP="001D5C1F">
            <w:pPr>
              <w:ind w:right="34"/>
              <w:rPr>
                <w:rFonts w:ascii="Verdana" w:hAnsi="Verdana"/>
                <w:b/>
                <w:sz w:val="20"/>
              </w:rPr>
            </w:pPr>
            <w:r w:rsidRPr="001D5C1F">
              <w:rPr>
                <w:rFonts w:ascii="Verdana" w:hAnsi="Verdana"/>
                <w:b/>
                <w:sz w:val="20"/>
              </w:rPr>
              <w:t>Verpflichtungskredit</w:t>
            </w:r>
          </w:p>
        </w:tc>
        <w:tc>
          <w:tcPr>
            <w:tcW w:w="5760" w:type="dxa"/>
          </w:tcPr>
          <w:p w:rsidR="00843CD7" w:rsidRPr="001D5C1F" w:rsidRDefault="00FC33ED" w:rsidP="001D5C1F">
            <w:pPr>
              <w:spacing w:after="80"/>
              <w:ind w:right="34"/>
              <w:rPr>
                <w:rFonts w:ascii="Verdana" w:hAnsi="Verdana"/>
                <w:sz w:val="20"/>
              </w:rPr>
            </w:pPr>
            <w:r w:rsidRPr="001D5C1F">
              <w:rPr>
                <w:rFonts w:ascii="Verdana" w:hAnsi="Verdana"/>
                <w:sz w:val="20"/>
              </w:rPr>
              <w:t xml:space="preserve">Der </w:t>
            </w:r>
            <w:bookmarkStart w:id="1" w:name="LPHit2"/>
            <w:bookmarkEnd w:id="1"/>
            <w:r w:rsidRPr="001D5C1F">
              <w:rPr>
                <w:rFonts w:ascii="Verdana" w:hAnsi="Verdana"/>
                <w:sz w:val="20"/>
              </w:rPr>
              <w:t xml:space="preserve">Verpflichtungskredit ist eine Ermächtigung, bis zur festgelegten Summe für einen bestimmten Zweck finanzielle Verpflichtungen einzugehen; er ist insbesondere für Ausgaben anzufordern, deren Abwicklung sich über mehrere Jahre erstreckt. Die </w:t>
            </w:r>
            <w:bookmarkStart w:id="2" w:name="LPHit4"/>
            <w:bookmarkEnd w:id="2"/>
            <w:r w:rsidRPr="001D5C1F">
              <w:rPr>
                <w:rFonts w:ascii="Verdana" w:hAnsi="Verdana"/>
                <w:sz w:val="20"/>
              </w:rPr>
              <w:t xml:space="preserve">Verpflichtungskredite werden in der Form von Objekt-, Rahmen- und Zusatzkrediten bewilligt. Der </w:t>
            </w:r>
            <w:bookmarkStart w:id="3" w:name="LPHit8"/>
            <w:bookmarkEnd w:id="3"/>
            <w:r w:rsidRPr="001D5C1F">
              <w:rPr>
                <w:rFonts w:ascii="Verdana" w:hAnsi="Verdana"/>
                <w:sz w:val="20"/>
              </w:rPr>
              <w:t xml:space="preserve">Verpflichtungskredit ist unverzüglich nach Abschluss des Vorhabens abzurechnen. (Gemeindegesetz Art.32). </w:t>
            </w:r>
          </w:p>
        </w:tc>
      </w:tr>
      <w:tr w:rsidR="00670DF6" w:rsidRPr="001D5C1F" w:rsidTr="00337B67">
        <w:tc>
          <w:tcPr>
            <w:tcW w:w="3708" w:type="dxa"/>
          </w:tcPr>
          <w:p w:rsidR="00670DF6" w:rsidRPr="001D5C1F" w:rsidRDefault="00670DF6" w:rsidP="001D5C1F">
            <w:pPr>
              <w:ind w:right="34"/>
              <w:rPr>
                <w:rFonts w:ascii="Verdana" w:hAnsi="Verdana"/>
                <w:b/>
                <w:sz w:val="20"/>
              </w:rPr>
            </w:pPr>
            <w:r w:rsidRPr="001D5C1F">
              <w:rPr>
                <w:rFonts w:ascii="Verdana" w:hAnsi="Verdana"/>
                <w:b/>
                <w:sz w:val="20"/>
              </w:rPr>
              <w:t>Verwaltungsvermögen</w:t>
            </w:r>
          </w:p>
        </w:tc>
        <w:tc>
          <w:tcPr>
            <w:tcW w:w="5760" w:type="dxa"/>
          </w:tcPr>
          <w:p w:rsidR="00670DF6" w:rsidRPr="001D5C1F" w:rsidRDefault="00670DF6" w:rsidP="001D5C1F">
            <w:pPr>
              <w:spacing w:after="80"/>
              <w:ind w:left="-52" w:right="34"/>
              <w:rPr>
                <w:rFonts w:ascii="Verdana" w:hAnsi="Verdana"/>
                <w:sz w:val="20"/>
              </w:rPr>
            </w:pPr>
            <w:r w:rsidRPr="001D5C1F">
              <w:rPr>
                <w:rFonts w:ascii="Verdana" w:hAnsi="Verdana"/>
                <w:sz w:val="20"/>
              </w:rPr>
              <w:t xml:space="preserve">Das </w:t>
            </w:r>
            <w:r w:rsidRPr="001D5C1F">
              <w:rPr>
                <w:rFonts w:ascii="Verdana" w:hAnsi="Verdana"/>
                <w:i/>
                <w:sz w:val="20"/>
              </w:rPr>
              <w:t>Verwaltungsvermögen</w:t>
            </w:r>
            <w:r w:rsidRPr="001D5C1F">
              <w:rPr>
                <w:rFonts w:ascii="Verdana" w:hAnsi="Verdana"/>
                <w:sz w:val="20"/>
              </w:rPr>
              <w:t xml:space="preserve"> umfasst jene Vermögens</w:t>
            </w:r>
            <w:r w:rsidRPr="001D5C1F">
              <w:rPr>
                <w:rFonts w:ascii="Verdana" w:hAnsi="Verdana"/>
                <w:sz w:val="20"/>
              </w:rPr>
              <w:softHyphen/>
              <w:t>werte, die unmittelbar der öffentlichen Aufgabenerfüllung dienen und die ohne diese zu beeinträchtigen nicht veräussert werden können.</w:t>
            </w:r>
          </w:p>
        </w:tc>
      </w:tr>
      <w:tr w:rsidR="00670DF6" w:rsidRPr="001D5C1F" w:rsidTr="00337B67">
        <w:tc>
          <w:tcPr>
            <w:tcW w:w="3708" w:type="dxa"/>
          </w:tcPr>
          <w:p w:rsidR="00670DF6" w:rsidRPr="001D5C1F" w:rsidRDefault="00670DF6" w:rsidP="001D5C1F">
            <w:pPr>
              <w:ind w:right="34"/>
              <w:rPr>
                <w:rFonts w:ascii="Verdana" w:hAnsi="Verdana"/>
                <w:b/>
                <w:sz w:val="20"/>
              </w:rPr>
            </w:pPr>
            <w:r w:rsidRPr="001D5C1F">
              <w:rPr>
                <w:rFonts w:ascii="Verdana" w:hAnsi="Verdana"/>
                <w:b/>
                <w:sz w:val="20"/>
              </w:rPr>
              <w:t>Vorfinanzierungen</w:t>
            </w:r>
          </w:p>
        </w:tc>
        <w:tc>
          <w:tcPr>
            <w:tcW w:w="5760" w:type="dxa"/>
          </w:tcPr>
          <w:p w:rsidR="00670DF6" w:rsidRPr="001D5C1F" w:rsidRDefault="00670DF6" w:rsidP="001D5C1F">
            <w:pPr>
              <w:spacing w:after="80"/>
              <w:ind w:left="-52" w:right="34"/>
              <w:rPr>
                <w:rFonts w:ascii="Verdana" w:hAnsi="Verdana"/>
                <w:sz w:val="20"/>
              </w:rPr>
            </w:pPr>
            <w:r w:rsidRPr="001D5C1F">
              <w:rPr>
                <w:rFonts w:ascii="Verdana" w:hAnsi="Verdana"/>
                <w:i/>
                <w:sz w:val="20"/>
              </w:rPr>
              <w:t>Vorfinanzierungen</w:t>
            </w:r>
            <w:r w:rsidRPr="001D5C1F">
              <w:rPr>
                <w:rFonts w:ascii="Verdana" w:hAnsi="Verdana"/>
                <w:sz w:val="20"/>
              </w:rPr>
              <w:t xml:space="preserve"> sind Reserven, welche für noch nicht beschlossene Vorhaben gebildet werden.</w:t>
            </w:r>
          </w:p>
        </w:tc>
      </w:tr>
      <w:tr w:rsidR="00670DF6" w:rsidRPr="001D5C1F" w:rsidTr="00337B67">
        <w:tc>
          <w:tcPr>
            <w:tcW w:w="3708" w:type="dxa"/>
          </w:tcPr>
          <w:p w:rsidR="00670DF6" w:rsidRPr="001D5C1F" w:rsidRDefault="00670DF6" w:rsidP="001D5C1F">
            <w:pPr>
              <w:ind w:right="34"/>
              <w:rPr>
                <w:rFonts w:ascii="Verdana" w:hAnsi="Verdana"/>
                <w:b/>
                <w:sz w:val="20"/>
              </w:rPr>
            </w:pPr>
            <w:r w:rsidRPr="001D5C1F">
              <w:rPr>
                <w:rFonts w:ascii="Verdana" w:hAnsi="Verdana"/>
                <w:b/>
                <w:sz w:val="20"/>
              </w:rPr>
              <w:t>Vorsichtsprinzip</w:t>
            </w:r>
          </w:p>
        </w:tc>
        <w:tc>
          <w:tcPr>
            <w:tcW w:w="5760" w:type="dxa"/>
          </w:tcPr>
          <w:p w:rsidR="00670DF6" w:rsidRPr="001D5C1F" w:rsidRDefault="00670DF6" w:rsidP="001D5C1F">
            <w:pPr>
              <w:spacing w:after="80"/>
              <w:ind w:left="-52" w:right="34"/>
              <w:rPr>
                <w:rFonts w:ascii="Verdana" w:hAnsi="Verdana"/>
                <w:sz w:val="20"/>
              </w:rPr>
            </w:pPr>
            <w:r w:rsidRPr="001D5C1F">
              <w:rPr>
                <w:rFonts w:ascii="Verdana" w:hAnsi="Verdana"/>
                <w:sz w:val="20"/>
              </w:rPr>
              <w:t xml:space="preserve">Im öffentlichen Rechnungswesen bedeutet das </w:t>
            </w:r>
            <w:r w:rsidRPr="001D5C1F">
              <w:rPr>
                <w:rFonts w:ascii="Verdana" w:hAnsi="Verdana"/>
                <w:i/>
                <w:sz w:val="20"/>
              </w:rPr>
              <w:t>Vorsichtsprinzip</w:t>
            </w:r>
            <w:r w:rsidRPr="001D5C1F">
              <w:rPr>
                <w:rFonts w:ascii="Verdana" w:hAnsi="Verdana"/>
                <w:sz w:val="20"/>
              </w:rPr>
              <w:t>, dass Anlagevermögen eher niedrig bewertet wird, um nicht zuviel Wert vorzuweisen. Die vorsichtige Bewertung hat vielfältige Gründe, unter anderem wird sie verwendet, da öffentliches Anlagevermögen schwer zu bewerten ist und nur einen Nutzungswert, aber keinen kommerziellen Wert hat. Nach dem Vorsichtsprinzip werden Anlagen stärker abgeschrieben als es dem effektiven Wertverlust aufgrund der Nutzung entspricht und dadurch stille Reserven angelegt.</w:t>
            </w:r>
          </w:p>
        </w:tc>
      </w:tr>
      <w:tr w:rsidR="00670DF6" w:rsidRPr="001D5C1F" w:rsidTr="00337B67">
        <w:tc>
          <w:tcPr>
            <w:tcW w:w="3708" w:type="dxa"/>
          </w:tcPr>
          <w:p w:rsidR="00670DF6" w:rsidRPr="001D5C1F" w:rsidRDefault="00670DF6" w:rsidP="001D5C1F">
            <w:pPr>
              <w:ind w:right="34"/>
              <w:rPr>
                <w:rFonts w:ascii="Verdana" w:hAnsi="Verdana"/>
                <w:b/>
                <w:sz w:val="20"/>
              </w:rPr>
            </w:pPr>
            <w:r w:rsidRPr="001D5C1F">
              <w:rPr>
                <w:rFonts w:ascii="Verdana" w:hAnsi="Verdana"/>
                <w:b/>
                <w:sz w:val="20"/>
              </w:rPr>
              <w:t>Wertberichtigung</w:t>
            </w:r>
          </w:p>
        </w:tc>
        <w:tc>
          <w:tcPr>
            <w:tcW w:w="5760" w:type="dxa"/>
          </w:tcPr>
          <w:p w:rsidR="00670DF6" w:rsidRPr="001D5C1F" w:rsidRDefault="00670DF6" w:rsidP="001D5C1F">
            <w:pPr>
              <w:spacing w:after="80"/>
              <w:ind w:left="-52" w:right="34"/>
              <w:rPr>
                <w:rFonts w:ascii="Verdana" w:hAnsi="Verdana"/>
                <w:sz w:val="20"/>
              </w:rPr>
            </w:pPr>
            <w:r w:rsidRPr="001D5C1F">
              <w:rPr>
                <w:rFonts w:ascii="Verdana" w:hAnsi="Verdana"/>
                <w:sz w:val="20"/>
              </w:rPr>
              <w:t xml:space="preserve">Eine </w:t>
            </w:r>
            <w:r w:rsidRPr="001D5C1F">
              <w:rPr>
                <w:rFonts w:ascii="Verdana" w:hAnsi="Verdana"/>
                <w:i/>
                <w:sz w:val="20"/>
              </w:rPr>
              <w:t>Wertberichtigung</w:t>
            </w:r>
            <w:r w:rsidRPr="001D5C1F">
              <w:rPr>
                <w:rFonts w:ascii="Verdana" w:hAnsi="Verdana"/>
                <w:sz w:val="20"/>
              </w:rPr>
              <w:t xml:space="preserve"> ist eine Passivierung in einem Bestandeskonto als Gegenposten zu einem zu hoch bilanzierten Aktivum, bzw. (seltener) eine Aktivierung in einem Bestandeskonto als Gegenposten zu einem zu niedrig bilanzierten Aktivum.</w:t>
            </w:r>
          </w:p>
        </w:tc>
      </w:tr>
      <w:tr w:rsidR="00670DF6" w:rsidRPr="001D5C1F" w:rsidTr="00337B67">
        <w:tc>
          <w:tcPr>
            <w:tcW w:w="3708" w:type="dxa"/>
          </w:tcPr>
          <w:p w:rsidR="00670DF6" w:rsidRPr="001D5C1F" w:rsidRDefault="00670DF6" w:rsidP="001D5C1F">
            <w:pPr>
              <w:ind w:right="34"/>
              <w:rPr>
                <w:rFonts w:ascii="Verdana" w:hAnsi="Verdana"/>
                <w:b/>
                <w:sz w:val="20"/>
              </w:rPr>
            </w:pPr>
            <w:r w:rsidRPr="001D5C1F">
              <w:rPr>
                <w:rFonts w:ascii="Verdana" w:hAnsi="Verdana"/>
                <w:b/>
                <w:sz w:val="20"/>
              </w:rPr>
              <w:t>Zweckgebundene Einnahmen</w:t>
            </w:r>
          </w:p>
        </w:tc>
        <w:tc>
          <w:tcPr>
            <w:tcW w:w="5760" w:type="dxa"/>
          </w:tcPr>
          <w:p w:rsidR="00670DF6" w:rsidRPr="001D5C1F" w:rsidRDefault="00670DF6" w:rsidP="001D5C1F">
            <w:pPr>
              <w:spacing w:after="80"/>
              <w:ind w:left="-52" w:right="34"/>
              <w:rPr>
                <w:rFonts w:ascii="Verdana" w:hAnsi="Verdana"/>
                <w:sz w:val="20"/>
              </w:rPr>
            </w:pPr>
            <w:r w:rsidRPr="001D5C1F">
              <w:rPr>
                <w:rFonts w:ascii="Verdana" w:hAnsi="Verdana"/>
                <w:i/>
                <w:sz w:val="20"/>
              </w:rPr>
              <w:t>Zweckgebundene Einnahmen</w:t>
            </w:r>
            <w:r w:rsidRPr="001D5C1F">
              <w:rPr>
                <w:rFonts w:ascii="Verdana" w:hAnsi="Verdana"/>
                <w:sz w:val="20"/>
              </w:rPr>
              <w:t xml:space="preserve"> sind Einnahmen, die für einen bestimmten Zweck vorgesehen werden, z.B. Parkinggebühren, welche nachher für den Unterhalt der Parkplätze verwendet werden.</w:t>
            </w:r>
          </w:p>
        </w:tc>
      </w:tr>
    </w:tbl>
    <w:p w:rsidR="0059071F" w:rsidRPr="001D5C1F" w:rsidRDefault="0059071F" w:rsidP="001D5C1F">
      <w:pPr>
        <w:rPr>
          <w:rFonts w:ascii="Verdana" w:hAnsi="Verdana"/>
        </w:rPr>
      </w:pPr>
    </w:p>
    <w:sectPr w:rsidR="0059071F" w:rsidRPr="001D5C1F" w:rsidSect="00134D10">
      <w:footerReference w:type="default" r:id="rId7"/>
      <w:pgSz w:w="11906" w:h="16838"/>
      <w:pgMar w:top="1258" w:right="1106" w:bottom="719" w:left="1418" w:header="709" w:footer="4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0094" w:rsidRDefault="00690094">
      <w:r>
        <w:separator/>
      </w:r>
    </w:p>
  </w:endnote>
  <w:endnote w:type="continuationSeparator" w:id="0">
    <w:p w:rsidR="00690094" w:rsidRDefault="00690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Gill Alt One MT Light">
    <w:panose1 w:val="00000000000000000000"/>
    <w:charset w:val="00"/>
    <w:family w:val="moder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W w:w="0" w:type="auto"/>
      <w:tblBorders>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06"/>
      <w:gridCol w:w="4606"/>
    </w:tblGrid>
    <w:tr w:rsidR="00280C32" w:rsidRPr="001D5C1F" w:rsidTr="009F2C23">
      <w:trPr>
        <w:trHeight w:val="345"/>
      </w:trPr>
      <w:tc>
        <w:tcPr>
          <w:tcW w:w="4606" w:type="dxa"/>
          <w:vAlign w:val="bottom"/>
        </w:tcPr>
        <w:p w:rsidR="00280C32" w:rsidRPr="001D5C1F" w:rsidRDefault="00280C32">
          <w:pPr>
            <w:pStyle w:val="Fuzeile"/>
            <w:rPr>
              <w:rFonts w:ascii="Verdana" w:hAnsi="Verdana"/>
              <w:sz w:val="20"/>
            </w:rPr>
          </w:pPr>
          <w:r w:rsidRPr="001D5C1F">
            <w:rPr>
              <w:rFonts w:ascii="Verdana" w:hAnsi="Verdana"/>
              <w:sz w:val="20"/>
            </w:rPr>
            <w:t>Glossar</w:t>
          </w:r>
        </w:p>
      </w:tc>
      <w:tc>
        <w:tcPr>
          <w:tcW w:w="4606" w:type="dxa"/>
          <w:vAlign w:val="bottom"/>
        </w:tcPr>
        <w:p w:rsidR="00280C32" w:rsidRPr="001D5C1F" w:rsidRDefault="00280C32" w:rsidP="001D5C1F">
          <w:pPr>
            <w:pStyle w:val="Fuzeile"/>
            <w:jc w:val="right"/>
            <w:rPr>
              <w:rFonts w:ascii="Verdana" w:hAnsi="Verdana"/>
              <w:sz w:val="20"/>
            </w:rPr>
          </w:pPr>
          <w:r w:rsidRPr="001D5C1F">
            <w:rPr>
              <w:rFonts w:ascii="Verdana" w:hAnsi="Verdana"/>
              <w:sz w:val="20"/>
            </w:rPr>
            <w:t xml:space="preserve">Seite </w:t>
          </w:r>
          <w:r w:rsidRPr="001D5C1F">
            <w:rPr>
              <w:rStyle w:val="Seitenzahl"/>
              <w:rFonts w:ascii="Verdana" w:hAnsi="Verdana"/>
              <w:sz w:val="20"/>
            </w:rPr>
            <w:fldChar w:fldCharType="begin"/>
          </w:r>
          <w:r w:rsidRPr="001D5C1F">
            <w:rPr>
              <w:rStyle w:val="Seitenzahl"/>
              <w:rFonts w:ascii="Verdana" w:hAnsi="Verdana"/>
              <w:sz w:val="20"/>
            </w:rPr>
            <w:instrText xml:space="preserve"> PAGE </w:instrText>
          </w:r>
          <w:r w:rsidRPr="001D5C1F">
            <w:rPr>
              <w:rStyle w:val="Seitenzahl"/>
              <w:rFonts w:ascii="Verdana" w:hAnsi="Verdana"/>
              <w:sz w:val="20"/>
            </w:rPr>
            <w:fldChar w:fldCharType="separate"/>
          </w:r>
          <w:r w:rsidR="00580612">
            <w:rPr>
              <w:rStyle w:val="Seitenzahl"/>
              <w:rFonts w:ascii="Verdana" w:hAnsi="Verdana"/>
              <w:noProof/>
              <w:sz w:val="20"/>
            </w:rPr>
            <w:t>1</w:t>
          </w:r>
          <w:r w:rsidRPr="001D5C1F">
            <w:rPr>
              <w:rStyle w:val="Seitenzahl"/>
              <w:rFonts w:ascii="Verdana" w:hAnsi="Verdana"/>
              <w:sz w:val="20"/>
            </w:rPr>
            <w:fldChar w:fldCharType="end"/>
          </w:r>
        </w:p>
      </w:tc>
    </w:tr>
  </w:tbl>
  <w:p w:rsidR="00280C32" w:rsidRPr="001D5C1F" w:rsidRDefault="00280C32">
    <w:pPr>
      <w:pStyle w:val="Fuzeile"/>
      <w:rPr>
        <w:rFonts w:ascii="Verdana" w:hAnsi="Verdana"/>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0094" w:rsidRDefault="00690094">
      <w:r>
        <w:separator/>
      </w:r>
    </w:p>
  </w:footnote>
  <w:footnote w:type="continuationSeparator" w:id="0">
    <w:p w:rsidR="00690094" w:rsidRDefault="006900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B577D"/>
    <w:multiLevelType w:val="hybridMultilevel"/>
    <w:tmpl w:val="39086FAA"/>
    <w:lvl w:ilvl="0" w:tplc="08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330"/>
        </w:tabs>
        <w:ind w:left="1330" w:hanging="360"/>
      </w:pPr>
      <w:rPr>
        <w:rFonts w:ascii="Courier New" w:hAnsi="Courier New" w:cs="Courier New" w:hint="default"/>
      </w:rPr>
    </w:lvl>
    <w:lvl w:ilvl="2" w:tplc="04070005">
      <w:start w:val="1"/>
      <w:numFmt w:val="bullet"/>
      <w:pStyle w:val="FVHRM2Bullet"/>
      <w:lvlText w:val=""/>
      <w:lvlJc w:val="left"/>
      <w:pPr>
        <w:tabs>
          <w:tab w:val="num" w:pos="2050"/>
        </w:tabs>
        <w:ind w:left="2050" w:hanging="360"/>
      </w:pPr>
      <w:rPr>
        <w:rFonts w:ascii="Wingdings" w:hAnsi="Wingdings" w:hint="default"/>
      </w:rPr>
    </w:lvl>
    <w:lvl w:ilvl="3" w:tplc="04070001" w:tentative="1">
      <w:start w:val="1"/>
      <w:numFmt w:val="bullet"/>
      <w:lvlText w:val=""/>
      <w:lvlJc w:val="left"/>
      <w:pPr>
        <w:tabs>
          <w:tab w:val="num" w:pos="2770"/>
        </w:tabs>
        <w:ind w:left="2770" w:hanging="360"/>
      </w:pPr>
      <w:rPr>
        <w:rFonts w:ascii="Symbol" w:hAnsi="Symbol" w:hint="default"/>
      </w:rPr>
    </w:lvl>
    <w:lvl w:ilvl="4" w:tplc="04070003" w:tentative="1">
      <w:start w:val="1"/>
      <w:numFmt w:val="bullet"/>
      <w:lvlText w:val="o"/>
      <w:lvlJc w:val="left"/>
      <w:pPr>
        <w:tabs>
          <w:tab w:val="num" w:pos="3490"/>
        </w:tabs>
        <w:ind w:left="3490" w:hanging="360"/>
      </w:pPr>
      <w:rPr>
        <w:rFonts w:ascii="Courier New" w:hAnsi="Courier New" w:cs="Courier New" w:hint="default"/>
      </w:rPr>
    </w:lvl>
    <w:lvl w:ilvl="5" w:tplc="04070005" w:tentative="1">
      <w:start w:val="1"/>
      <w:numFmt w:val="bullet"/>
      <w:lvlText w:val=""/>
      <w:lvlJc w:val="left"/>
      <w:pPr>
        <w:tabs>
          <w:tab w:val="num" w:pos="4210"/>
        </w:tabs>
        <w:ind w:left="4210" w:hanging="360"/>
      </w:pPr>
      <w:rPr>
        <w:rFonts w:ascii="Wingdings" w:hAnsi="Wingdings" w:hint="default"/>
      </w:rPr>
    </w:lvl>
    <w:lvl w:ilvl="6" w:tplc="04070001" w:tentative="1">
      <w:start w:val="1"/>
      <w:numFmt w:val="bullet"/>
      <w:lvlText w:val=""/>
      <w:lvlJc w:val="left"/>
      <w:pPr>
        <w:tabs>
          <w:tab w:val="num" w:pos="4930"/>
        </w:tabs>
        <w:ind w:left="4930" w:hanging="360"/>
      </w:pPr>
      <w:rPr>
        <w:rFonts w:ascii="Symbol" w:hAnsi="Symbol" w:hint="default"/>
      </w:rPr>
    </w:lvl>
    <w:lvl w:ilvl="7" w:tplc="04070003" w:tentative="1">
      <w:start w:val="1"/>
      <w:numFmt w:val="bullet"/>
      <w:lvlText w:val="o"/>
      <w:lvlJc w:val="left"/>
      <w:pPr>
        <w:tabs>
          <w:tab w:val="num" w:pos="5650"/>
        </w:tabs>
        <w:ind w:left="5650" w:hanging="360"/>
      </w:pPr>
      <w:rPr>
        <w:rFonts w:ascii="Courier New" w:hAnsi="Courier New" w:cs="Courier New" w:hint="default"/>
      </w:rPr>
    </w:lvl>
    <w:lvl w:ilvl="8" w:tplc="04070005" w:tentative="1">
      <w:start w:val="1"/>
      <w:numFmt w:val="bullet"/>
      <w:lvlText w:val=""/>
      <w:lvlJc w:val="left"/>
      <w:pPr>
        <w:tabs>
          <w:tab w:val="num" w:pos="6370"/>
        </w:tabs>
        <w:ind w:left="6370" w:hanging="360"/>
      </w:pPr>
      <w:rPr>
        <w:rFonts w:ascii="Wingdings" w:hAnsi="Wingdings" w:hint="default"/>
      </w:rPr>
    </w:lvl>
  </w:abstractNum>
  <w:abstractNum w:abstractNumId="1" w15:restartNumberingAfterBreak="0">
    <w:nsid w:val="00C53057"/>
    <w:multiLevelType w:val="singleLevel"/>
    <w:tmpl w:val="04070001"/>
    <w:lvl w:ilvl="0">
      <w:start w:val="1"/>
      <w:numFmt w:val="bullet"/>
      <w:pStyle w:val="Bullet1"/>
      <w:lvlText w:val=""/>
      <w:lvlJc w:val="left"/>
      <w:pPr>
        <w:tabs>
          <w:tab w:val="num" w:pos="360"/>
        </w:tabs>
        <w:ind w:left="360" w:hanging="360"/>
      </w:pPr>
      <w:rPr>
        <w:rFonts w:ascii="Symbol" w:hAnsi="Symbol" w:hint="default"/>
      </w:rPr>
    </w:lvl>
  </w:abstractNum>
  <w:abstractNum w:abstractNumId="2" w15:restartNumberingAfterBreak="0">
    <w:nsid w:val="21E2036D"/>
    <w:multiLevelType w:val="multilevel"/>
    <w:tmpl w:val="8F42808E"/>
    <w:lvl w:ilvl="0">
      <w:start w:val="1"/>
      <w:numFmt w:val="upperLetter"/>
      <w:pStyle w:val="FormatvorlageAnhang"/>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254802E4"/>
    <w:multiLevelType w:val="hybridMultilevel"/>
    <w:tmpl w:val="C212CD78"/>
    <w:lvl w:ilvl="0" w:tplc="14E25F0A">
      <w:start w:val="1"/>
      <w:numFmt w:val="decimal"/>
      <w:pStyle w:val="FormatvorlageFVHRM2EmpfNichtFettChar"/>
      <w:lvlText w:val="%1"/>
      <w:lvlJc w:val="left"/>
      <w:pPr>
        <w:tabs>
          <w:tab w:val="num" w:pos="360"/>
        </w:tabs>
        <w:ind w:left="36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2FBD298C"/>
    <w:multiLevelType w:val="singleLevel"/>
    <w:tmpl w:val="D8F235FC"/>
    <w:lvl w:ilvl="0">
      <w:start w:val="1"/>
      <w:numFmt w:val="bullet"/>
      <w:pStyle w:val="Bullet2"/>
      <w:lvlText w:val=""/>
      <w:lvlJc w:val="left"/>
      <w:pPr>
        <w:tabs>
          <w:tab w:val="num" w:pos="1418"/>
        </w:tabs>
        <w:ind w:left="1418" w:hanging="567"/>
      </w:pPr>
      <w:rPr>
        <w:rFonts w:ascii="Symbol" w:hAnsi="Symbol" w:hint="default"/>
      </w:rPr>
    </w:lvl>
  </w:abstractNum>
  <w:abstractNum w:abstractNumId="5" w15:restartNumberingAfterBreak="0">
    <w:nsid w:val="317B7152"/>
    <w:multiLevelType w:val="hybridMultilevel"/>
    <w:tmpl w:val="161C81DE"/>
    <w:lvl w:ilvl="0" w:tplc="BDFAC0A8">
      <w:start w:val="1"/>
      <w:numFmt w:val="decimal"/>
      <w:pStyle w:val="HRMStandNumerierung"/>
      <w:lvlText w:val="%1."/>
      <w:lvlJc w:val="left"/>
      <w:pPr>
        <w:tabs>
          <w:tab w:val="num" w:pos="1134"/>
        </w:tabs>
        <w:ind w:left="1134" w:hanging="360"/>
      </w:pPr>
      <w:rPr>
        <w:rFonts w:hint="default"/>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323D7D98"/>
    <w:multiLevelType w:val="multilevel"/>
    <w:tmpl w:val="2FC27B22"/>
    <w:lvl w:ilvl="0">
      <w:start w:val="1"/>
      <w:numFmt w:val="decimal"/>
      <w:pStyle w:val="FVHRM2berschrift1n"/>
      <w:lvlText w:val="%1."/>
      <w:lvlJc w:val="left"/>
      <w:pPr>
        <w:tabs>
          <w:tab w:val="num" w:pos="567"/>
        </w:tabs>
        <w:ind w:left="567" w:hanging="567"/>
      </w:pPr>
      <w:rPr>
        <w:rFonts w:hint="default"/>
      </w:rPr>
    </w:lvl>
    <w:lvl w:ilvl="1">
      <w:start w:val="1"/>
      <w:numFmt w:val="decimal"/>
      <w:lvlText w:val="%1."/>
      <w:lvlJc w:val="left"/>
      <w:pPr>
        <w:tabs>
          <w:tab w:val="num" w:pos="927"/>
        </w:tabs>
        <w:ind w:left="927" w:hanging="567"/>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7" w15:restartNumberingAfterBreak="0">
    <w:nsid w:val="387235D7"/>
    <w:multiLevelType w:val="multilevel"/>
    <w:tmpl w:val="4AD2A792"/>
    <w:lvl w:ilvl="0">
      <w:start w:val="1"/>
      <w:numFmt w:val="decimal"/>
      <w:pStyle w:val="FormatvorlageFormatvorlageberschrift114ptChar"/>
      <w:lvlText w:val="%1"/>
      <w:lvlJc w:val="left"/>
      <w:pPr>
        <w:tabs>
          <w:tab w:val="num" w:pos="737"/>
        </w:tabs>
        <w:ind w:left="737" w:hanging="737"/>
      </w:pPr>
      <w:rPr>
        <w:rFonts w:hint="default"/>
        <w:lang w:val="de-CH"/>
      </w:rPr>
    </w:lvl>
    <w:lvl w:ilvl="1">
      <w:start w:val="1"/>
      <w:numFmt w:val="decimal"/>
      <w:pStyle w:val="Formatvorlageberschrift2"/>
      <w:lvlText w:val="%1.%2"/>
      <w:lvlJc w:val="left"/>
      <w:pPr>
        <w:tabs>
          <w:tab w:val="num" w:pos="737"/>
        </w:tabs>
        <w:ind w:left="737" w:hanging="737"/>
      </w:pPr>
      <w:rPr>
        <w:rFonts w:hint="default"/>
      </w:rPr>
    </w:lvl>
    <w:lvl w:ilvl="2">
      <w:start w:val="1"/>
      <w:numFmt w:val="decimal"/>
      <w:pStyle w:val="Formatvorlageberschrift3"/>
      <w:lvlText w:val="%1.%2.%3"/>
      <w:lvlJc w:val="left"/>
      <w:pPr>
        <w:tabs>
          <w:tab w:val="num" w:pos="624"/>
        </w:tabs>
        <w:ind w:left="624" w:hanging="624"/>
      </w:pPr>
      <w:rPr>
        <w:rFonts w:hint="default"/>
      </w:rPr>
    </w:lvl>
    <w:lvl w:ilvl="3">
      <w:start w:val="1"/>
      <w:numFmt w:val="decimal"/>
      <w:pStyle w:val="berschrift4"/>
      <w:lvlText w:val="%2.%3.%4"/>
      <w:lvlJc w:val="left"/>
      <w:pPr>
        <w:tabs>
          <w:tab w:val="num" w:pos="964"/>
        </w:tabs>
        <w:ind w:left="964" w:hanging="9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8" w15:restartNumberingAfterBreak="0">
    <w:nsid w:val="47B07EC3"/>
    <w:multiLevelType w:val="hybridMultilevel"/>
    <w:tmpl w:val="D9A423EE"/>
    <w:lvl w:ilvl="0" w:tplc="FFFFFFFF">
      <w:start w:val="1"/>
      <w:numFmt w:val="bullet"/>
      <w:pStyle w:val="FVHRM2NumBullet"/>
      <w:lvlText w:val=""/>
      <w:lvlJc w:val="left"/>
      <w:pPr>
        <w:tabs>
          <w:tab w:val="num" w:pos="720"/>
        </w:tabs>
        <w:ind w:left="720" w:hanging="360"/>
      </w:pPr>
      <w:rPr>
        <w:rFonts w:ascii="Wingdings" w:hAnsi="Wingdings" w:hint="default"/>
      </w:rPr>
    </w:lvl>
    <w:lvl w:ilvl="1" w:tplc="FFFFFFFF">
      <w:start w:val="1"/>
      <w:numFmt w:val="lowerLetter"/>
      <w:lvlText w:val="%2."/>
      <w:lvlJc w:val="left"/>
      <w:pPr>
        <w:tabs>
          <w:tab w:val="num" w:pos="360"/>
        </w:tabs>
        <w:ind w:left="360" w:hanging="360"/>
      </w:pPr>
    </w:lvl>
    <w:lvl w:ilvl="2" w:tplc="FFFFFFFF" w:tentative="1">
      <w:start w:val="1"/>
      <w:numFmt w:val="lowerRoman"/>
      <w:lvlText w:val="%3."/>
      <w:lvlJc w:val="right"/>
      <w:pPr>
        <w:tabs>
          <w:tab w:val="num" w:pos="1080"/>
        </w:tabs>
        <w:ind w:left="1080" w:hanging="180"/>
      </w:pPr>
    </w:lvl>
    <w:lvl w:ilvl="3" w:tplc="FFFFFFFF" w:tentative="1">
      <w:start w:val="1"/>
      <w:numFmt w:val="decimal"/>
      <w:lvlText w:val="%4."/>
      <w:lvlJc w:val="left"/>
      <w:pPr>
        <w:tabs>
          <w:tab w:val="num" w:pos="1800"/>
        </w:tabs>
        <w:ind w:left="1800" w:hanging="360"/>
      </w:pPr>
    </w:lvl>
    <w:lvl w:ilvl="4" w:tplc="FFFFFFFF" w:tentative="1">
      <w:start w:val="1"/>
      <w:numFmt w:val="lowerLetter"/>
      <w:lvlText w:val="%5."/>
      <w:lvlJc w:val="left"/>
      <w:pPr>
        <w:tabs>
          <w:tab w:val="num" w:pos="2520"/>
        </w:tabs>
        <w:ind w:left="2520" w:hanging="360"/>
      </w:pPr>
    </w:lvl>
    <w:lvl w:ilvl="5" w:tplc="FFFFFFFF" w:tentative="1">
      <w:start w:val="1"/>
      <w:numFmt w:val="lowerRoman"/>
      <w:lvlText w:val="%6."/>
      <w:lvlJc w:val="right"/>
      <w:pPr>
        <w:tabs>
          <w:tab w:val="num" w:pos="3240"/>
        </w:tabs>
        <w:ind w:left="3240" w:hanging="180"/>
      </w:pPr>
    </w:lvl>
    <w:lvl w:ilvl="6" w:tplc="FFFFFFFF" w:tentative="1">
      <w:start w:val="1"/>
      <w:numFmt w:val="decimal"/>
      <w:lvlText w:val="%7."/>
      <w:lvlJc w:val="left"/>
      <w:pPr>
        <w:tabs>
          <w:tab w:val="num" w:pos="3960"/>
        </w:tabs>
        <w:ind w:left="3960" w:hanging="360"/>
      </w:pPr>
    </w:lvl>
    <w:lvl w:ilvl="7" w:tplc="FFFFFFFF" w:tentative="1">
      <w:start w:val="1"/>
      <w:numFmt w:val="lowerLetter"/>
      <w:lvlText w:val="%8."/>
      <w:lvlJc w:val="left"/>
      <w:pPr>
        <w:tabs>
          <w:tab w:val="num" w:pos="4680"/>
        </w:tabs>
        <w:ind w:left="4680" w:hanging="360"/>
      </w:pPr>
    </w:lvl>
    <w:lvl w:ilvl="8" w:tplc="FFFFFFFF" w:tentative="1">
      <w:start w:val="1"/>
      <w:numFmt w:val="lowerRoman"/>
      <w:lvlText w:val="%9."/>
      <w:lvlJc w:val="right"/>
      <w:pPr>
        <w:tabs>
          <w:tab w:val="num" w:pos="5400"/>
        </w:tabs>
        <w:ind w:left="5400" w:hanging="180"/>
      </w:pPr>
    </w:lvl>
  </w:abstractNum>
  <w:abstractNum w:abstractNumId="9" w15:restartNumberingAfterBreak="0">
    <w:nsid w:val="4EE43CA7"/>
    <w:multiLevelType w:val="multilevel"/>
    <w:tmpl w:val="A3961FE0"/>
    <w:lvl w:ilvl="0">
      <w:start w:val="1"/>
      <w:numFmt w:val="decimal"/>
      <w:pStyle w:val="REFVberschrift1"/>
      <w:lvlText w:val="%1"/>
      <w:lvlJc w:val="left"/>
      <w:pPr>
        <w:tabs>
          <w:tab w:val="num" w:pos="432"/>
        </w:tabs>
        <w:ind w:left="432" w:hanging="432"/>
      </w:pPr>
      <w:rPr>
        <w:rFonts w:hint="default"/>
      </w:rPr>
    </w:lvl>
    <w:lvl w:ilvl="1">
      <w:start w:val="1"/>
      <w:numFmt w:val="decimal"/>
      <w:pStyle w:val="REFVberschrift2"/>
      <w:lvlText w:val="%1.%2"/>
      <w:lvlJc w:val="left"/>
      <w:pPr>
        <w:tabs>
          <w:tab w:val="num" w:pos="576"/>
        </w:tabs>
        <w:ind w:left="576" w:hanging="576"/>
      </w:pPr>
      <w:rPr>
        <w:rFonts w:hint="default"/>
      </w:rPr>
    </w:lvl>
    <w:lvl w:ilvl="2">
      <w:start w:val="1"/>
      <w:numFmt w:val="decimal"/>
      <w:pStyle w:val="REFVberschrift2"/>
      <w:lvlText w:val="%1.%2.%3"/>
      <w:lvlJc w:val="left"/>
      <w:pPr>
        <w:tabs>
          <w:tab w:val="num" w:pos="720"/>
        </w:tabs>
        <w:ind w:left="720" w:hanging="720"/>
      </w:pPr>
      <w:rPr>
        <w:rFonts w:hint="default"/>
      </w:rPr>
    </w:lvl>
    <w:lvl w:ilvl="3">
      <w:start w:val="1"/>
      <w:numFmt w:val="decimal"/>
      <w:pStyle w:val="REFVberschrift6"/>
      <w:lvlText w:val="%1.%2.%3.%4"/>
      <w:lvlJc w:val="left"/>
      <w:pPr>
        <w:tabs>
          <w:tab w:val="num" w:pos="864"/>
        </w:tabs>
        <w:ind w:left="864" w:hanging="864"/>
      </w:pPr>
      <w:rPr>
        <w:rFonts w:hint="default"/>
      </w:rPr>
    </w:lvl>
    <w:lvl w:ilvl="4">
      <w:start w:val="1"/>
      <w:numFmt w:val="decimal"/>
      <w:pStyle w:val="REFVberschrift3"/>
      <w:lvlText w:val="%1.%2.%3.%4.%5"/>
      <w:lvlJc w:val="left"/>
      <w:pPr>
        <w:tabs>
          <w:tab w:val="num" w:pos="1008"/>
        </w:tabs>
        <w:ind w:left="1008" w:hanging="1008"/>
      </w:pPr>
      <w:rPr>
        <w:rFonts w:hint="default"/>
      </w:rPr>
    </w:lvl>
    <w:lvl w:ilvl="5">
      <w:start w:val="1"/>
      <w:numFmt w:val="decimal"/>
      <w:pStyle w:val="REFVberschrift5"/>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4F872D68"/>
    <w:multiLevelType w:val="multilevel"/>
    <w:tmpl w:val="E166C770"/>
    <w:lvl w:ilvl="0">
      <w:start w:val="1"/>
      <w:numFmt w:val="decimal"/>
      <w:lvlText w:val="%1"/>
      <w:lvlJc w:val="left"/>
      <w:pPr>
        <w:tabs>
          <w:tab w:val="num" w:pos="432"/>
        </w:tabs>
        <w:ind w:left="432" w:hanging="432"/>
      </w:pPr>
      <w:rPr>
        <w:rFonts w:hint="default"/>
      </w:rPr>
    </w:lvl>
    <w:lvl w:ilvl="1">
      <w:start w:val="1"/>
      <w:numFmt w:val="decimal"/>
      <w:pStyle w:val="Formatvorlage3"/>
      <w:lvlText w:val="%1.%2"/>
      <w:lvlJc w:val="left"/>
      <w:pPr>
        <w:tabs>
          <w:tab w:val="num" w:pos="397"/>
        </w:tabs>
        <w:ind w:left="737" w:hanging="737"/>
      </w:pPr>
      <w:rPr>
        <w:rFonts w:ascii="Arial" w:hAnsi="Arial" w:hint="default"/>
        <w:sz w:val="26"/>
        <w:szCs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577C7D7D"/>
    <w:multiLevelType w:val="hybridMultilevel"/>
    <w:tmpl w:val="F946B4A2"/>
    <w:lvl w:ilvl="0" w:tplc="FFFFFFFF">
      <w:start w:val="1"/>
      <w:numFmt w:val="decimal"/>
      <w:pStyle w:val="FVHRM2Num"/>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Wingdings" w:hAnsi="Wingding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62954577"/>
    <w:multiLevelType w:val="multilevel"/>
    <w:tmpl w:val="2D2C6F80"/>
    <w:lvl w:ilvl="0">
      <w:start w:val="1"/>
      <w:numFmt w:val="decimal"/>
      <w:pStyle w:val="berschrift1"/>
      <w:lvlText w:val="%1."/>
      <w:lvlJc w:val="left"/>
      <w:pPr>
        <w:tabs>
          <w:tab w:val="num" w:pos="360"/>
        </w:tabs>
        <w:ind w:left="360" w:hanging="360"/>
      </w:pPr>
      <w:rPr>
        <w:rFonts w:hint="default"/>
      </w:rPr>
    </w:lvl>
    <w:lvl w:ilvl="1">
      <w:start w:val="1"/>
      <w:numFmt w:val="decimal"/>
      <w:pStyle w:val="berschrift2"/>
      <w:lvlText w:val="%1.%2."/>
      <w:lvlJc w:val="left"/>
      <w:pPr>
        <w:tabs>
          <w:tab w:val="num" w:pos="454"/>
        </w:tabs>
        <w:ind w:left="454" w:hanging="454"/>
      </w:pPr>
      <w:rPr>
        <w:rFonts w:hint="default"/>
      </w:rPr>
    </w:lvl>
    <w:lvl w:ilvl="2">
      <w:start w:val="1"/>
      <w:numFmt w:val="decimal"/>
      <w:pStyle w:val="berschrift3"/>
      <w:lvlText w:val="%1.%2.%3."/>
      <w:lvlJc w:val="left"/>
      <w:pPr>
        <w:tabs>
          <w:tab w:val="num" w:pos="794"/>
        </w:tabs>
        <w:ind w:left="794" w:hanging="79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65180EC3"/>
    <w:multiLevelType w:val="multilevel"/>
    <w:tmpl w:val="883AA30A"/>
    <w:lvl w:ilvl="0">
      <w:start w:val="1"/>
      <w:numFmt w:val="decimal"/>
      <w:lvlText w:val="%1"/>
      <w:lvlJc w:val="left"/>
      <w:pPr>
        <w:tabs>
          <w:tab w:val="num" w:pos="737"/>
        </w:tabs>
        <w:ind w:left="737" w:hanging="737"/>
      </w:pPr>
      <w:rPr>
        <w:rFonts w:hint="default"/>
      </w:rPr>
    </w:lvl>
    <w:lvl w:ilvl="1">
      <w:start w:val="1"/>
      <w:numFmt w:val="decimal"/>
      <w:pStyle w:val="FVHRM2berschrift2n"/>
      <w:lvlText w:val="%1.%2"/>
      <w:lvlJc w:val="left"/>
      <w:pPr>
        <w:tabs>
          <w:tab w:val="num" w:pos="737"/>
        </w:tabs>
        <w:ind w:left="737" w:hanging="737"/>
      </w:pPr>
      <w:rPr>
        <w:rFonts w:hint="default"/>
        <w:sz w:val="28"/>
        <w:szCs w:val="28"/>
      </w:rPr>
    </w:lvl>
    <w:lvl w:ilvl="2">
      <w:start w:val="1"/>
      <w:numFmt w:val="decimal"/>
      <w:pStyle w:val="FVHRM2berschrift3n"/>
      <w:lvlText w:val="%1.%2.%3"/>
      <w:lvlJc w:val="left"/>
      <w:pPr>
        <w:tabs>
          <w:tab w:val="num" w:pos="984"/>
        </w:tabs>
        <w:ind w:left="984" w:hanging="624"/>
      </w:pPr>
      <w:rPr>
        <w:rFonts w:hint="default"/>
        <w:lang w:val="de-DE"/>
      </w:rPr>
    </w:lvl>
    <w:lvl w:ilvl="3">
      <w:start w:val="1"/>
      <w:numFmt w:val="decimal"/>
      <w:lvlText w:val="%2.%3.%4"/>
      <w:lvlJc w:val="left"/>
      <w:pPr>
        <w:tabs>
          <w:tab w:val="num" w:pos="964"/>
        </w:tabs>
        <w:ind w:left="964" w:hanging="9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73F97912"/>
    <w:multiLevelType w:val="multilevel"/>
    <w:tmpl w:val="59521D98"/>
    <w:lvl w:ilvl="0">
      <w:start w:val="1"/>
      <w:numFmt w:val="decimal"/>
      <w:pStyle w:val="Formatvorlage2"/>
      <w:lvlText w:val="%1."/>
      <w:lvlJc w:val="left"/>
      <w:pPr>
        <w:tabs>
          <w:tab w:val="num" w:pos="454"/>
        </w:tabs>
        <w:ind w:left="454" w:hanging="454"/>
      </w:pPr>
      <w:rPr>
        <w:rFonts w:ascii="Verdana" w:hAnsi="Verdana" w:hint="default"/>
        <w:b/>
        <w:i w:val="0"/>
        <w:sz w:val="28"/>
        <w:szCs w:val="28"/>
      </w:rPr>
    </w:lvl>
    <w:lvl w:ilvl="1">
      <w:start w:val="1"/>
      <w:numFmt w:val="decimal"/>
      <w:lvlText w:val="%1.%2."/>
      <w:lvlJc w:val="left"/>
      <w:pPr>
        <w:tabs>
          <w:tab w:val="num" w:pos="397"/>
        </w:tabs>
        <w:ind w:left="397" w:hanging="397"/>
      </w:pPr>
      <w:rPr>
        <w:rFonts w:ascii="Verdana" w:hAnsi="Verdana" w:hint="default"/>
        <w:b/>
        <w:i w:val="0"/>
        <w:sz w:val="24"/>
      </w:rPr>
    </w:lvl>
    <w:lvl w:ilvl="2">
      <w:start w:val="1"/>
      <w:numFmt w:val="decimal"/>
      <w:lvlText w:val="%1.%2.%3."/>
      <w:lvlJc w:val="left"/>
      <w:pPr>
        <w:tabs>
          <w:tab w:val="num" w:pos="3240"/>
        </w:tabs>
        <w:ind w:left="1224" w:hanging="504"/>
      </w:pPr>
      <w:rPr>
        <w:rFonts w:hint="default"/>
      </w:rPr>
    </w:lvl>
    <w:lvl w:ilvl="3">
      <w:start w:val="1"/>
      <w:numFmt w:val="decimal"/>
      <w:lvlText w:val="%1.%2.%3.%4."/>
      <w:lvlJc w:val="left"/>
      <w:pPr>
        <w:tabs>
          <w:tab w:val="num" w:pos="4320"/>
        </w:tabs>
        <w:ind w:left="1728" w:hanging="648"/>
      </w:pPr>
      <w:rPr>
        <w:rFonts w:hint="default"/>
      </w:rPr>
    </w:lvl>
    <w:lvl w:ilvl="4">
      <w:start w:val="1"/>
      <w:numFmt w:val="decimal"/>
      <w:lvlText w:val="%1.%2.%3.%4.%5."/>
      <w:lvlJc w:val="left"/>
      <w:pPr>
        <w:tabs>
          <w:tab w:val="num" w:pos="5760"/>
        </w:tabs>
        <w:ind w:left="2232" w:hanging="792"/>
      </w:pPr>
      <w:rPr>
        <w:rFonts w:hint="default"/>
      </w:rPr>
    </w:lvl>
    <w:lvl w:ilvl="5">
      <w:start w:val="1"/>
      <w:numFmt w:val="decimal"/>
      <w:lvlText w:val="%1.%2.%3.%4.%5.%6."/>
      <w:lvlJc w:val="left"/>
      <w:pPr>
        <w:tabs>
          <w:tab w:val="num" w:pos="6840"/>
        </w:tabs>
        <w:ind w:left="2736" w:hanging="936"/>
      </w:pPr>
      <w:rPr>
        <w:rFonts w:hint="default"/>
      </w:rPr>
    </w:lvl>
    <w:lvl w:ilvl="6">
      <w:start w:val="1"/>
      <w:numFmt w:val="decimal"/>
      <w:lvlText w:val="%1.%2.%3.%4.%5.%6.%7."/>
      <w:lvlJc w:val="left"/>
      <w:pPr>
        <w:tabs>
          <w:tab w:val="num" w:pos="7920"/>
        </w:tabs>
        <w:ind w:left="3240" w:hanging="1080"/>
      </w:pPr>
      <w:rPr>
        <w:rFonts w:hint="default"/>
      </w:rPr>
    </w:lvl>
    <w:lvl w:ilvl="7">
      <w:start w:val="1"/>
      <w:numFmt w:val="decimal"/>
      <w:lvlText w:val="%1.%2.%3.%4.%5.%6.%7.%8."/>
      <w:lvlJc w:val="left"/>
      <w:pPr>
        <w:tabs>
          <w:tab w:val="num" w:pos="9000"/>
        </w:tabs>
        <w:ind w:left="3744" w:hanging="1224"/>
      </w:pPr>
      <w:rPr>
        <w:rFonts w:hint="default"/>
      </w:rPr>
    </w:lvl>
    <w:lvl w:ilvl="8">
      <w:start w:val="1"/>
      <w:numFmt w:val="decimal"/>
      <w:lvlText w:val="%1.%2.%3.%4.%5.%6.%7.%8.%9."/>
      <w:lvlJc w:val="left"/>
      <w:pPr>
        <w:tabs>
          <w:tab w:val="num" w:pos="10440"/>
        </w:tabs>
        <w:ind w:left="4320" w:hanging="1440"/>
      </w:pPr>
      <w:rPr>
        <w:rFonts w:hint="default"/>
      </w:rPr>
    </w:lvl>
  </w:abstractNum>
  <w:abstractNum w:abstractNumId="15" w15:restartNumberingAfterBreak="0">
    <w:nsid w:val="790A55CB"/>
    <w:multiLevelType w:val="hybridMultilevel"/>
    <w:tmpl w:val="B9520996"/>
    <w:lvl w:ilvl="0" w:tplc="8FDEDFB6">
      <w:start w:val="1"/>
      <w:numFmt w:val="decimal"/>
      <w:pStyle w:val="FVHRM2Empf"/>
      <w:lvlText w:val="%1"/>
      <w:lvlJc w:val="left"/>
      <w:pPr>
        <w:tabs>
          <w:tab w:val="num" w:pos="360"/>
        </w:tabs>
        <w:ind w:left="360" w:hanging="360"/>
      </w:pPr>
      <w:rPr>
        <w:rFonts w:ascii="Arial" w:hAnsi="Arial" w:hint="default"/>
        <w:b/>
        <w:i w:val="0"/>
        <w:sz w:val="22"/>
        <w:szCs w:val="22"/>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7BB40330"/>
    <w:multiLevelType w:val="multilevel"/>
    <w:tmpl w:val="D26E874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207"/>
      </w:pPr>
      <w:rPr>
        <w:rFonts w:hint="default"/>
      </w:rPr>
    </w:lvl>
    <w:lvl w:ilvl="2">
      <w:start w:val="1"/>
      <w:numFmt w:val="decimal"/>
      <w:pStyle w:val="Formatvorlageberschrift3Verdana11ptKursivSchwarz"/>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num w:numId="1">
    <w:abstractNumId w:val="10"/>
  </w:num>
  <w:num w:numId="2">
    <w:abstractNumId w:val="14"/>
  </w:num>
  <w:num w:numId="3">
    <w:abstractNumId w:val="12"/>
  </w:num>
  <w:num w:numId="4">
    <w:abstractNumId w:val="16"/>
  </w:num>
  <w:num w:numId="5">
    <w:abstractNumId w:val="6"/>
  </w:num>
  <w:num w:numId="6">
    <w:abstractNumId w:val="7"/>
  </w:num>
  <w:num w:numId="7">
    <w:abstractNumId w:val="13"/>
  </w:num>
  <w:num w:numId="8">
    <w:abstractNumId w:val="11"/>
  </w:num>
  <w:num w:numId="9">
    <w:abstractNumId w:val="9"/>
  </w:num>
  <w:num w:numId="10">
    <w:abstractNumId w:val="2"/>
  </w:num>
  <w:num w:numId="11">
    <w:abstractNumId w:val="8"/>
  </w:num>
  <w:num w:numId="12">
    <w:abstractNumId w:val="5"/>
  </w:num>
  <w:num w:numId="13">
    <w:abstractNumId w:val="3"/>
  </w:num>
  <w:num w:numId="14">
    <w:abstractNumId w:val="15"/>
    <w:lvlOverride w:ilvl="0">
      <w:startOverride w:val="1"/>
    </w:lvlOverride>
  </w:num>
  <w:num w:numId="15">
    <w:abstractNumId w:val="4"/>
  </w:num>
  <w:num w:numId="16">
    <w:abstractNumId w:val="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DF6"/>
    <w:rsid w:val="00134D10"/>
    <w:rsid w:val="00171B88"/>
    <w:rsid w:val="001D5C1F"/>
    <w:rsid w:val="001E5B00"/>
    <w:rsid w:val="00236CDB"/>
    <w:rsid w:val="00280C32"/>
    <w:rsid w:val="00300730"/>
    <w:rsid w:val="00337B67"/>
    <w:rsid w:val="005128CF"/>
    <w:rsid w:val="00580612"/>
    <w:rsid w:val="0059071F"/>
    <w:rsid w:val="0061273C"/>
    <w:rsid w:val="00670DF6"/>
    <w:rsid w:val="00674CEE"/>
    <w:rsid w:val="00690094"/>
    <w:rsid w:val="00843CD7"/>
    <w:rsid w:val="008A2D6A"/>
    <w:rsid w:val="008D1D5A"/>
    <w:rsid w:val="009F2C23"/>
    <w:rsid w:val="00B069AF"/>
    <w:rsid w:val="00B153A5"/>
    <w:rsid w:val="00B16F3C"/>
    <w:rsid w:val="00B23012"/>
    <w:rsid w:val="00C95045"/>
    <w:rsid w:val="00D074AC"/>
    <w:rsid w:val="00DF4B20"/>
    <w:rsid w:val="00E47807"/>
    <w:rsid w:val="00ED0525"/>
    <w:rsid w:val="00FC33E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78B6FA4-A0F1-428A-B827-77755AE49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70DF6"/>
    <w:pPr>
      <w:overflowPunct w:val="0"/>
      <w:autoSpaceDE w:val="0"/>
      <w:autoSpaceDN w:val="0"/>
      <w:adjustRightInd w:val="0"/>
      <w:textAlignment w:val="baseline"/>
    </w:pPr>
    <w:rPr>
      <w:rFonts w:ascii="Arial" w:hAnsi="Arial"/>
      <w:sz w:val="24"/>
      <w:lang w:eastAsia="de-DE"/>
    </w:rPr>
  </w:style>
  <w:style w:type="paragraph" w:styleId="berschrift1">
    <w:name w:val="heading 1"/>
    <w:aliases w:val=" Char1,Char1"/>
    <w:basedOn w:val="Standard"/>
    <w:next w:val="Standard"/>
    <w:link w:val="berschrift1Zchn"/>
    <w:autoRedefine/>
    <w:qFormat/>
    <w:rsid w:val="008A2D6A"/>
    <w:pPr>
      <w:keepNext/>
      <w:numPr>
        <w:numId w:val="3"/>
      </w:numPr>
      <w:spacing w:before="240" w:after="60"/>
      <w:outlineLvl w:val="0"/>
    </w:pPr>
    <w:rPr>
      <w:b/>
      <w:kern w:val="28"/>
      <w:sz w:val="28"/>
      <w:szCs w:val="28"/>
    </w:rPr>
  </w:style>
  <w:style w:type="paragraph" w:styleId="berschrift2">
    <w:name w:val="heading 2"/>
    <w:basedOn w:val="berschrift1"/>
    <w:autoRedefine/>
    <w:qFormat/>
    <w:rsid w:val="008A2D6A"/>
    <w:pPr>
      <w:numPr>
        <w:ilvl w:val="1"/>
      </w:numPr>
      <w:outlineLvl w:val="1"/>
    </w:pPr>
    <w:rPr>
      <w:rFonts w:ascii="Verdana" w:hAnsi="Verdana"/>
      <w:bCs/>
      <w:sz w:val="22"/>
      <w:szCs w:val="22"/>
    </w:rPr>
  </w:style>
  <w:style w:type="paragraph" w:styleId="berschrift3">
    <w:name w:val="heading 3"/>
    <w:basedOn w:val="Standard"/>
    <w:next w:val="Standard"/>
    <w:autoRedefine/>
    <w:qFormat/>
    <w:rsid w:val="008A2D6A"/>
    <w:pPr>
      <w:keepNext/>
      <w:numPr>
        <w:ilvl w:val="2"/>
        <w:numId w:val="3"/>
      </w:numPr>
      <w:spacing w:before="240" w:after="60"/>
      <w:outlineLvl w:val="2"/>
    </w:pPr>
    <w:rPr>
      <w:b/>
      <w:i/>
    </w:rPr>
  </w:style>
  <w:style w:type="paragraph" w:styleId="berschrift4">
    <w:name w:val="heading 4"/>
    <w:basedOn w:val="Standard"/>
    <w:next w:val="Standard"/>
    <w:qFormat/>
    <w:rsid w:val="00670DF6"/>
    <w:pPr>
      <w:keepNext/>
      <w:numPr>
        <w:ilvl w:val="3"/>
        <w:numId w:val="6"/>
      </w:numPr>
      <w:overflowPunct/>
      <w:autoSpaceDE/>
      <w:autoSpaceDN/>
      <w:adjustRightInd/>
      <w:spacing w:line="360" w:lineRule="auto"/>
      <w:textAlignment w:val="auto"/>
      <w:outlineLvl w:val="3"/>
    </w:pPr>
    <w:rPr>
      <w:rFonts w:ascii="Times New Roman" w:hAnsi="Times New Roman"/>
      <w:b/>
      <w:i/>
      <w:lang w:val="de-DE"/>
    </w:rPr>
  </w:style>
  <w:style w:type="paragraph" w:styleId="berschrift5">
    <w:name w:val="heading 5"/>
    <w:basedOn w:val="Standard"/>
    <w:next w:val="Standard"/>
    <w:qFormat/>
    <w:rsid w:val="00670DF6"/>
    <w:pPr>
      <w:keepNext/>
      <w:numPr>
        <w:ilvl w:val="4"/>
        <w:numId w:val="6"/>
      </w:numPr>
      <w:overflowPunct/>
      <w:autoSpaceDE/>
      <w:autoSpaceDN/>
      <w:adjustRightInd/>
      <w:textAlignment w:val="auto"/>
      <w:outlineLvl w:val="4"/>
    </w:pPr>
    <w:rPr>
      <w:rFonts w:ascii="Times New Roman" w:hAnsi="Times New Roman"/>
      <w:sz w:val="28"/>
      <w:lang w:val="de-DE"/>
    </w:rPr>
  </w:style>
  <w:style w:type="paragraph" w:styleId="berschrift6">
    <w:name w:val="heading 6"/>
    <w:basedOn w:val="Standard"/>
    <w:next w:val="Standard"/>
    <w:qFormat/>
    <w:rsid w:val="00670DF6"/>
    <w:pPr>
      <w:keepNext/>
      <w:numPr>
        <w:ilvl w:val="5"/>
        <w:numId w:val="6"/>
      </w:numPr>
      <w:overflowPunct/>
      <w:autoSpaceDE/>
      <w:autoSpaceDN/>
      <w:adjustRightInd/>
      <w:textAlignment w:val="auto"/>
      <w:outlineLvl w:val="5"/>
    </w:pPr>
    <w:rPr>
      <w:rFonts w:ascii="Times New Roman" w:hAnsi="Times New Roman"/>
      <w:b/>
      <w:lang w:val="de-DE"/>
    </w:rPr>
  </w:style>
  <w:style w:type="paragraph" w:styleId="berschrift7">
    <w:name w:val="heading 7"/>
    <w:basedOn w:val="Standard"/>
    <w:next w:val="Standard"/>
    <w:qFormat/>
    <w:rsid w:val="00670DF6"/>
    <w:pPr>
      <w:numPr>
        <w:ilvl w:val="6"/>
        <w:numId w:val="6"/>
      </w:numPr>
      <w:overflowPunct/>
      <w:autoSpaceDE/>
      <w:autoSpaceDN/>
      <w:adjustRightInd/>
      <w:spacing w:before="240" w:after="60"/>
      <w:textAlignment w:val="auto"/>
      <w:outlineLvl w:val="6"/>
    </w:pPr>
    <w:rPr>
      <w:sz w:val="20"/>
      <w:lang w:val="de-DE"/>
    </w:rPr>
  </w:style>
  <w:style w:type="paragraph" w:styleId="berschrift8">
    <w:name w:val="heading 8"/>
    <w:basedOn w:val="Standard"/>
    <w:next w:val="Standard"/>
    <w:qFormat/>
    <w:rsid w:val="00670DF6"/>
    <w:pPr>
      <w:numPr>
        <w:ilvl w:val="7"/>
        <w:numId w:val="6"/>
      </w:numPr>
      <w:overflowPunct/>
      <w:autoSpaceDE/>
      <w:autoSpaceDN/>
      <w:adjustRightInd/>
      <w:spacing w:before="240" w:after="60"/>
      <w:textAlignment w:val="auto"/>
      <w:outlineLvl w:val="7"/>
    </w:pPr>
    <w:rPr>
      <w:i/>
      <w:sz w:val="20"/>
      <w:lang w:val="de-DE"/>
    </w:rPr>
  </w:style>
  <w:style w:type="paragraph" w:styleId="berschrift9">
    <w:name w:val="heading 9"/>
    <w:basedOn w:val="Standard"/>
    <w:next w:val="Standard"/>
    <w:qFormat/>
    <w:rsid w:val="00670DF6"/>
    <w:pPr>
      <w:numPr>
        <w:ilvl w:val="8"/>
        <w:numId w:val="6"/>
      </w:numPr>
      <w:overflowPunct/>
      <w:autoSpaceDE/>
      <w:autoSpaceDN/>
      <w:adjustRightInd/>
      <w:spacing w:before="240" w:after="60"/>
      <w:textAlignment w:val="auto"/>
      <w:outlineLvl w:val="8"/>
    </w:pPr>
    <w:rPr>
      <w:b/>
      <w:i/>
      <w:sz w:val="18"/>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3">
    <w:name w:val="Formatvorlage3"/>
    <w:basedOn w:val="berschrift2"/>
    <w:next w:val="Standard"/>
    <w:autoRedefine/>
    <w:rsid w:val="0059071F"/>
    <w:pPr>
      <w:numPr>
        <w:numId w:val="1"/>
      </w:numPr>
      <w:spacing w:before="60" w:line="360" w:lineRule="auto"/>
    </w:pPr>
    <w:rPr>
      <w:i/>
      <w:iCs/>
      <w:sz w:val="24"/>
      <w:lang w:val="de-DE"/>
    </w:rPr>
  </w:style>
  <w:style w:type="paragraph" w:customStyle="1" w:styleId="Formatvorlage2">
    <w:name w:val="Formatvorlage2"/>
    <w:basedOn w:val="berschrift1"/>
    <w:rsid w:val="008A2D6A"/>
    <w:pPr>
      <w:pageBreakBefore/>
      <w:numPr>
        <w:numId w:val="2"/>
      </w:numPr>
      <w:spacing w:before="0" w:after="0"/>
      <w:ind w:right="709"/>
    </w:pPr>
    <w:rPr>
      <w:bCs/>
      <w:szCs w:val="20"/>
      <w:lang w:val="de-DE"/>
    </w:rPr>
  </w:style>
  <w:style w:type="paragraph" w:customStyle="1" w:styleId="Formatvorlageberschrift2Automatisch">
    <w:name w:val="Formatvorlage Überschrift 2 + Automatisch"/>
    <w:basedOn w:val="berschrift2"/>
    <w:autoRedefine/>
    <w:rsid w:val="008A2D6A"/>
    <w:pPr>
      <w:numPr>
        <w:ilvl w:val="0"/>
        <w:numId w:val="0"/>
      </w:numPr>
      <w:spacing w:after="240"/>
    </w:pPr>
    <w:rPr>
      <w:rFonts w:cs="Arial"/>
      <w:sz w:val="24"/>
      <w:szCs w:val="24"/>
    </w:rPr>
  </w:style>
  <w:style w:type="paragraph" w:customStyle="1" w:styleId="Formatvorlageberschrift3Verdana11ptKursivSchwarz">
    <w:name w:val="Formatvorlage Überschrift 3 + Verdana 11 pt Kursiv Schwarz"/>
    <w:basedOn w:val="berschrift3"/>
    <w:autoRedefine/>
    <w:rsid w:val="00236CDB"/>
    <w:pPr>
      <w:numPr>
        <w:numId w:val="4"/>
      </w:numPr>
    </w:pPr>
    <w:rPr>
      <w:bCs/>
      <w:iCs/>
      <w:szCs w:val="26"/>
    </w:rPr>
  </w:style>
  <w:style w:type="character" w:customStyle="1" w:styleId="berschrift1Zchn">
    <w:name w:val="Überschrift 1 Zchn"/>
    <w:aliases w:val=" Char1 Zchn,Char1 Zchn"/>
    <w:basedOn w:val="Absatz-Standardschriftart"/>
    <w:link w:val="berschrift1"/>
    <w:rsid w:val="00670DF6"/>
    <w:rPr>
      <w:rFonts w:ascii="Arial" w:hAnsi="Arial"/>
      <w:b/>
      <w:kern w:val="28"/>
      <w:sz w:val="28"/>
      <w:szCs w:val="28"/>
      <w:lang w:val="de-CH" w:eastAsia="de-DE" w:bidi="ar-SA"/>
    </w:rPr>
  </w:style>
  <w:style w:type="paragraph" w:styleId="Verzeichnis1">
    <w:name w:val="toc 1"/>
    <w:basedOn w:val="Standard"/>
    <w:next w:val="Standard"/>
    <w:semiHidden/>
    <w:rsid w:val="00670DF6"/>
    <w:pPr>
      <w:spacing w:before="360"/>
    </w:pPr>
    <w:rPr>
      <w:rFonts w:cs="Arial"/>
      <w:b/>
      <w:bCs/>
      <w:caps/>
      <w:szCs w:val="24"/>
    </w:rPr>
  </w:style>
  <w:style w:type="paragraph" w:styleId="Umschlagadresse">
    <w:name w:val="envelope address"/>
    <w:basedOn w:val="Standard"/>
    <w:rsid w:val="00670DF6"/>
    <w:pPr>
      <w:framePr w:w="7938" w:h="1985" w:hRule="exact" w:hSpace="141" w:wrap="auto" w:hAnchor="page" w:xAlign="center" w:yAlign="bottom"/>
      <w:ind w:left="2835"/>
    </w:pPr>
    <w:rPr>
      <w:lang w:val="de-DE"/>
    </w:rPr>
  </w:style>
  <w:style w:type="paragraph" w:styleId="Kopfzeile">
    <w:name w:val="header"/>
    <w:basedOn w:val="Standard"/>
    <w:rsid w:val="00670DF6"/>
    <w:pPr>
      <w:tabs>
        <w:tab w:val="center" w:pos="4536"/>
        <w:tab w:val="right" w:pos="9072"/>
      </w:tabs>
    </w:pPr>
  </w:style>
  <w:style w:type="paragraph" w:customStyle="1" w:styleId="must1">
    <w:name w:val="must1"/>
    <w:basedOn w:val="Standard"/>
    <w:rsid w:val="00670DF6"/>
    <w:rPr>
      <w:b/>
      <w:sz w:val="32"/>
    </w:rPr>
  </w:style>
  <w:style w:type="paragraph" w:customStyle="1" w:styleId="must2">
    <w:name w:val="must2"/>
    <w:basedOn w:val="must1"/>
    <w:rsid w:val="00670DF6"/>
    <w:rPr>
      <w:b w:val="0"/>
      <w:i/>
      <w:sz w:val="36"/>
    </w:rPr>
  </w:style>
  <w:style w:type="paragraph" w:styleId="Fuzeile">
    <w:name w:val="footer"/>
    <w:basedOn w:val="Standard"/>
    <w:rsid w:val="00670DF6"/>
    <w:pPr>
      <w:tabs>
        <w:tab w:val="center" w:pos="4536"/>
        <w:tab w:val="right" w:pos="9072"/>
      </w:tabs>
    </w:pPr>
  </w:style>
  <w:style w:type="paragraph" w:customStyle="1" w:styleId="FVHRM2Titel1">
    <w:name w:val="FVHRM2Titel1"/>
    <w:basedOn w:val="Standard"/>
    <w:rsid w:val="00670DF6"/>
    <w:pPr>
      <w:spacing w:before="2520"/>
      <w:ind w:right="-1134"/>
      <w:jc w:val="center"/>
    </w:pPr>
    <w:rPr>
      <w:b/>
      <w:sz w:val="36"/>
    </w:rPr>
  </w:style>
  <w:style w:type="paragraph" w:customStyle="1" w:styleId="FVHRM2Titel2">
    <w:name w:val="FVHRM2Titel2"/>
    <w:basedOn w:val="Standard"/>
    <w:rsid w:val="00670DF6"/>
    <w:pPr>
      <w:spacing w:before="240"/>
      <w:ind w:right="-1134"/>
      <w:jc w:val="center"/>
    </w:pPr>
    <w:rPr>
      <w:b/>
      <w:sz w:val="28"/>
    </w:rPr>
  </w:style>
  <w:style w:type="character" w:styleId="Seitenzahl">
    <w:name w:val="page number"/>
    <w:basedOn w:val="Absatz-Standardschriftart"/>
    <w:rsid w:val="00670DF6"/>
  </w:style>
  <w:style w:type="paragraph" w:customStyle="1" w:styleId="FVHRM2berschrift1">
    <w:name w:val="FVHRM2Überschrift1"/>
    <w:basedOn w:val="Standard"/>
    <w:next w:val="Standard"/>
    <w:rsid w:val="00670DF6"/>
    <w:pPr>
      <w:tabs>
        <w:tab w:val="left" w:pos="3375"/>
      </w:tabs>
      <w:spacing w:before="240" w:after="120" w:line="360" w:lineRule="auto"/>
    </w:pPr>
    <w:rPr>
      <w:b/>
      <w:sz w:val="36"/>
    </w:rPr>
  </w:style>
  <w:style w:type="paragraph" w:customStyle="1" w:styleId="FVHRM2berschrift1n">
    <w:name w:val="FVHRM2Überschrift1n"/>
    <w:basedOn w:val="Standard"/>
    <w:rsid w:val="00670DF6"/>
    <w:pPr>
      <w:numPr>
        <w:numId w:val="5"/>
      </w:numPr>
      <w:overflowPunct/>
      <w:autoSpaceDE/>
      <w:autoSpaceDN/>
      <w:adjustRightInd/>
      <w:spacing w:before="240" w:after="120" w:line="360" w:lineRule="auto"/>
      <w:textAlignment w:val="auto"/>
    </w:pPr>
    <w:rPr>
      <w:b/>
      <w:sz w:val="36"/>
      <w:szCs w:val="24"/>
    </w:rPr>
  </w:style>
  <w:style w:type="paragraph" w:customStyle="1" w:styleId="FormatvorlageFVHRM2berschrift1nNichtFett">
    <w:name w:val="Formatvorlage FVHRM2Überschrift1n + Nicht Fett"/>
    <w:basedOn w:val="FVHRM2berschrift1n"/>
    <w:rsid w:val="00670DF6"/>
  </w:style>
  <w:style w:type="character" w:styleId="Funotenzeichen">
    <w:name w:val="footnote reference"/>
    <w:basedOn w:val="Absatz-Standardschriftart"/>
    <w:semiHidden/>
    <w:rsid w:val="00670DF6"/>
    <w:rPr>
      <w:vertAlign w:val="superscript"/>
    </w:rPr>
  </w:style>
  <w:style w:type="paragraph" w:customStyle="1" w:styleId="HRMStandardChar">
    <w:name w:val="HRM Standard Char"/>
    <w:basedOn w:val="Standard"/>
    <w:link w:val="HRMStandardCharChar"/>
    <w:autoRedefine/>
    <w:rsid w:val="00670DF6"/>
    <w:pPr>
      <w:overflowPunct/>
      <w:autoSpaceDE/>
      <w:autoSpaceDN/>
      <w:adjustRightInd/>
      <w:spacing w:line="360" w:lineRule="auto"/>
      <w:jc w:val="both"/>
      <w:textAlignment w:val="auto"/>
    </w:pPr>
    <w:rPr>
      <w:rFonts w:cs="Arial"/>
      <w:bCs/>
      <w:sz w:val="22"/>
      <w:szCs w:val="24"/>
    </w:rPr>
  </w:style>
  <w:style w:type="paragraph" w:customStyle="1" w:styleId="HRMberschrift1">
    <w:name w:val="HRM Überschrift1"/>
    <w:basedOn w:val="berschrift1"/>
    <w:autoRedefine/>
    <w:rsid w:val="00670DF6"/>
    <w:pPr>
      <w:numPr>
        <w:numId w:val="0"/>
      </w:numPr>
      <w:tabs>
        <w:tab w:val="num" w:pos="540"/>
        <w:tab w:val="num" w:pos="1284"/>
      </w:tabs>
      <w:spacing w:before="0" w:after="0" w:line="440" w:lineRule="atLeast"/>
      <w:ind w:left="540" w:hanging="540"/>
    </w:pPr>
    <w:rPr>
      <w:bCs/>
      <w:kern w:val="0"/>
      <w:sz w:val="32"/>
      <w:szCs w:val="32"/>
    </w:rPr>
  </w:style>
  <w:style w:type="paragraph" w:customStyle="1" w:styleId="FormatvorlageFusszeile">
    <w:name w:val="Formatvorlage Fusszeile"/>
    <w:basedOn w:val="Funotentext"/>
    <w:rsid w:val="00670DF6"/>
    <w:pPr>
      <w:overflowPunct/>
      <w:autoSpaceDE/>
      <w:autoSpaceDN/>
      <w:adjustRightInd/>
      <w:jc w:val="both"/>
      <w:textAlignment w:val="auto"/>
    </w:pPr>
    <w:rPr>
      <w:rFonts w:ascii="Palatino Linotype" w:hAnsi="Palatino Linotype"/>
    </w:rPr>
  </w:style>
  <w:style w:type="paragraph" w:styleId="Funotentext">
    <w:name w:val="footnote text"/>
    <w:basedOn w:val="Standard"/>
    <w:semiHidden/>
    <w:rsid w:val="00670DF6"/>
    <w:rPr>
      <w:sz w:val="20"/>
    </w:rPr>
  </w:style>
  <w:style w:type="paragraph" w:customStyle="1" w:styleId="FVHRM2berschrift2n">
    <w:name w:val="FVHRM2Überschrift2n"/>
    <w:basedOn w:val="HRMStandardChar"/>
    <w:rsid w:val="00670DF6"/>
    <w:pPr>
      <w:numPr>
        <w:ilvl w:val="1"/>
        <w:numId w:val="7"/>
      </w:numPr>
      <w:tabs>
        <w:tab w:val="clear" w:pos="737"/>
        <w:tab w:val="num" w:pos="397"/>
      </w:tabs>
      <w:spacing w:before="120" w:after="120"/>
      <w:ind w:left="397" w:hanging="397"/>
    </w:pPr>
    <w:rPr>
      <w:b/>
      <w:sz w:val="28"/>
    </w:rPr>
  </w:style>
  <w:style w:type="character" w:styleId="Fett">
    <w:name w:val="Strong"/>
    <w:basedOn w:val="Absatz-Standardschriftart"/>
    <w:qFormat/>
    <w:rsid w:val="00670DF6"/>
    <w:rPr>
      <w:b/>
      <w:bCs/>
    </w:rPr>
  </w:style>
  <w:style w:type="paragraph" w:styleId="StandardWeb">
    <w:name w:val="Normal (Web)"/>
    <w:basedOn w:val="Standard"/>
    <w:rsid w:val="00670DF6"/>
    <w:pPr>
      <w:overflowPunct/>
      <w:autoSpaceDE/>
      <w:autoSpaceDN/>
      <w:adjustRightInd/>
      <w:spacing w:before="100" w:beforeAutospacing="1" w:after="100" w:afterAutospacing="1"/>
      <w:textAlignment w:val="auto"/>
    </w:pPr>
    <w:rPr>
      <w:rFonts w:ascii="Verdana" w:hAnsi="Verdana"/>
      <w:color w:val="333333"/>
      <w:sz w:val="18"/>
      <w:szCs w:val="18"/>
      <w:lang w:val="de-DE"/>
    </w:rPr>
  </w:style>
  <w:style w:type="character" w:styleId="Hyperlink">
    <w:name w:val="Hyperlink"/>
    <w:basedOn w:val="Absatz-Standardschriftart"/>
    <w:rsid w:val="00670DF6"/>
    <w:rPr>
      <w:color w:val="0000FF"/>
      <w:u w:val="single"/>
    </w:rPr>
  </w:style>
  <w:style w:type="character" w:customStyle="1" w:styleId="noprint">
    <w:name w:val="noprint"/>
    <w:basedOn w:val="Absatz-Standardschriftart"/>
    <w:rsid w:val="00670DF6"/>
  </w:style>
  <w:style w:type="character" w:customStyle="1" w:styleId="highlight">
    <w:name w:val="highlight"/>
    <w:basedOn w:val="Absatz-Standardschriftart"/>
    <w:rsid w:val="00670DF6"/>
  </w:style>
  <w:style w:type="paragraph" w:customStyle="1" w:styleId="page">
    <w:name w:val="page"/>
    <w:basedOn w:val="Standard"/>
    <w:rsid w:val="00670DF6"/>
    <w:pPr>
      <w:overflowPunct/>
      <w:autoSpaceDE/>
      <w:autoSpaceDN/>
      <w:adjustRightInd/>
      <w:spacing w:before="100" w:beforeAutospacing="1" w:after="100" w:afterAutospacing="1"/>
      <w:textAlignment w:val="auto"/>
    </w:pPr>
    <w:rPr>
      <w:rFonts w:ascii="Times New Roman" w:hAnsi="Times New Roman"/>
      <w:color w:val="000000"/>
      <w:szCs w:val="24"/>
      <w:lang w:val="de-DE"/>
    </w:rPr>
  </w:style>
  <w:style w:type="paragraph" w:customStyle="1" w:styleId="FormatvorlageStandard">
    <w:name w:val="Formatvorlage Standard"/>
    <w:basedOn w:val="Standard"/>
    <w:rsid w:val="00670DF6"/>
    <w:pPr>
      <w:overflowPunct/>
      <w:autoSpaceDE/>
      <w:autoSpaceDN/>
      <w:adjustRightInd/>
      <w:spacing w:line="360" w:lineRule="auto"/>
      <w:jc w:val="both"/>
      <w:textAlignment w:val="auto"/>
    </w:pPr>
    <w:rPr>
      <w:rFonts w:ascii="Palatino Linotype" w:hAnsi="Palatino Linotype"/>
      <w:sz w:val="22"/>
      <w:lang w:val="de-DE"/>
    </w:rPr>
  </w:style>
  <w:style w:type="paragraph" w:customStyle="1" w:styleId="FussnotentextChar1Char">
    <w:name w:val="Fussnotentext Char1 Char"/>
    <w:basedOn w:val="Funotentext"/>
    <w:link w:val="FussnotentextChar1CharChar"/>
    <w:rsid w:val="00670DF6"/>
    <w:pPr>
      <w:tabs>
        <w:tab w:val="left" w:pos="851"/>
      </w:tabs>
      <w:overflowPunct/>
      <w:autoSpaceDE/>
      <w:autoSpaceDN/>
      <w:adjustRightInd/>
      <w:spacing w:before="60"/>
      <w:ind w:left="964" w:hanging="113"/>
      <w:textAlignment w:val="auto"/>
    </w:pPr>
    <w:rPr>
      <w:sz w:val="24"/>
    </w:rPr>
  </w:style>
  <w:style w:type="character" w:customStyle="1" w:styleId="FussnotentextChar1CharChar">
    <w:name w:val="Fussnotentext Char1 Char Char"/>
    <w:basedOn w:val="Absatz-Standardschriftart"/>
    <w:link w:val="FussnotentextChar1Char"/>
    <w:rsid w:val="00670DF6"/>
    <w:rPr>
      <w:rFonts w:ascii="Arial" w:hAnsi="Arial"/>
      <w:sz w:val="24"/>
      <w:lang w:val="de-CH" w:eastAsia="de-DE" w:bidi="ar-SA"/>
    </w:rPr>
  </w:style>
  <w:style w:type="paragraph" w:customStyle="1" w:styleId="FVHRM2berschriftFachempf1">
    <w:name w:val="FVHRM2ÜberschriftFachempf1"/>
    <w:basedOn w:val="FVHRM2berschrift2n"/>
    <w:next w:val="HRMStandardChar"/>
    <w:rsid w:val="00670DF6"/>
    <w:pPr>
      <w:numPr>
        <w:ilvl w:val="0"/>
        <w:numId w:val="0"/>
      </w:numPr>
      <w:spacing w:before="240"/>
    </w:pPr>
  </w:style>
  <w:style w:type="paragraph" w:customStyle="1" w:styleId="FVHRM2berschriftFachempf2">
    <w:name w:val="FVHRM2ÜberschriftFachempf2"/>
    <w:basedOn w:val="Standard"/>
    <w:next w:val="HRMStandardChar"/>
    <w:rsid w:val="00670DF6"/>
    <w:pPr>
      <w:spacing w:before="240" w:after="120"/>
    </w:pPr>
    <w:rPr>
      <w:b/>
      <w:sz w:val="28"/>
      <w:szCs w:val="24"/>
    </w:rPr>
  </w:style>
  <w:style w:type="paragraph" w:customStyle="1" w:styleId="Formatvorlageberschrift2">
    <w:name w:val="Formatvorlage Überschrift 2"/>
    <w:basedOn w:val="berschrift2"/>
    <w:next w:val="FormatvorlageStandard"/>
    <w:rsid w:val="00670DF6"/>
    <w:pPr>
      <w:numPr>
        <w:numId w:val="6"/>
      </w:numPr>
      <w:spacing w:before="60" w:after="160"/>
    </w:pPr>
    <w:rPr>
      <w:rFonts w:ascii="Gill Alt One MT Light" w:hAnsi="Gill Alt One MT Light"/>
      <w:bCs w:val="0"/>
      <w:iCs/>
      <w:kern w:val="0"/>
      <w:sz w:val="32"/>
      <w:szCs w:val="20"/>
      <w:lang w:val="de-DE"/>
    </w:rPr>
  </w:style>
  <w:style w:type="paragraph" w:customStyle="1" w:styleId="Formatvorlageberschrift3">
    <w:name w:val="Formatvorlage Überschrift3"/>
    <w:basedOn w:val="berschrift3"/>
    <w:next w:val="FormatvorlageStandard"/>
    <w:rsid w:val="00670DF6"/>
    <w:pPr>
      <w:numPr>
        <w:numId w:val="6"/>
      </w:numPr>
      <w:spacing w:after="120"/>
    </w:pPr>
    <w:rPr>
      <w:i w:val="0"/>
      <w:lang w:val="de-DE"/>
    </w:rPr>
  </w:style>
  <w:style w:type="paragraph" w:customStyle="1" w:styleId="FormatvorlageFormatvorlageberschrift212pt">
    <w:name w:val="Formatvorlage Formatvorlage Überschrift 2 + 12 pt"/>
    <w:basedOn w:val="Formatvorlageberschrift2"/>
    <w:next w:val="FormatvorlageStandard"/>
    <w:rsid w:val="00670DF6"/>
    <w:pPr>
      <w:spacing w:before="240"/>
    </w:pPr>
    <w:rPr>
      <w:rFonts w:ascii="Arial" w:hAnsi="Arial"/>
      <w:bCs/>
      <w:iCs w:val="0"/>
      <w:sz w:val="24"/>
    </w:rPr>
  </w:style>
  <w:style w:type="paragraph" w:customStyle="1" w:styleId="FormatvorlageFormatvorlageberschrift114ptChar">
    <w:name w:val="Formatvorlage Formatvorlage Überschrift1 + 14 pt Char"/>
    <w:basedOn w:val="Standard"/>
    <w:next w:val="FormatvorlageStandard"/>
    <w:rsid w:val="00670DF6"/>
    <w:pPr>
      <w:keepNext/>
      <w:numPr>
        <w:numId w:val="6"/>
      </w:numPr>
      <w:overflowPunct/>
      <w:autoSpaceDE/>
      <w:autoSpaceDN/>
      <w:adjustRightInd/>
      <w:spacing w:before="240" w:after="120"/>
      <w:textAlignment w:val="auto"/>
      <w:outlineLvl w:val="0"/>
    </w:pPr>
    <w:rPr>
      <w:b/>
      <w:bCs/>
      <w:kern w:val="28"/>
      <w:sz w:val="28"/>
      <w:lang w:val="de-DE"/>
    </w:rPr>
  </w:style>
  <w:style w:type="paragraph" w:customStyle="1" w:styleId="FVHRM2Bullet">
    <w:name w:val="FVHRM2Bullet"/>
    <w:basedOn w:val="HRMStandardChar"/>
    <w:rsid w:val="00670DF6"/>
    <w:pPr>
      <w:numPr>
        <w:ilvl w:val="2"/>
        <w:numId w:val="17"/>
      </w:numPr>
      <w:tabs>
        <w:tab w:val="clear" w:pos="2050"/>
        <w:tab w:val="num" w:pos="360"/>
      </w:tabs>
      <w:ind w:left="0" w:firstLine="0"/>
    </w:pPr>
  </w:style>
  <w:style w:type="paragraph" w:customStyle="1" w:styleId="FVHRM2berschrift3n">
    <w:name w:val="FVHRM2Überschrift3n"/>
    <w:basedOn w:val="HRMStandardChar"/>
    <w:rsid w:val="00670DF6"/>
    <w:pPr>
      <w:numPr>
        <w:ilvl w:val="2"/>
        <w:numId w:val="7"/>
      </w:numPr>
      <w:tabs>
        <w:tab w:val="clear" w:pos="984"/>
        <w:tab w:val="num" w:pos="3240"/>
      </w:tabs>
      <w:spacing w:before="240" w:after="120"/>
      <w:ind w:left="1224" w:hanging="504"/>
    </w:pPr>
    <w:rPr>
      <w:b/>
      <w:sz w:val="24"/>
    </w:rPr>
  </w:style>
  <w:style w:type="paragraph" w:customStyle="1" w:styleId="FVHRM2Num">
    <w:name w:val="FVHRM2Num"/>
    <w:basedOn w:val="HRMStandardChar"/>
    <w:rsid w:val="00670DF6"/>
    <w:pPr>
      <w:numPr>
        <w:numId w:val="8"/>
      </w:numPr>
      <w:tabs>
        <w:tab w:val="clear" w:pos="720"/>
        <w:tab w:val="num" w:pos="360"/>
      </w:tabs>
      <w:ind w:left="360"/>
    </w:pPr>
  </w:style>
  <w:style w:type="paragraph" w:customStyle="1" w:styleId="FVHRM2NumBullet">
    <w:name w:val="FVHRM2NumBullet"/>
    <w:basedOn w:val="FVHRM2Num"/>
    <w:rsid w:val="00670DF6"/>
    <w:pPr>
      <w:numPr>
        <w:numId w:val="11"/>
      </w:numPr>
      <w:tabs>
        <w:tab w:val="clear" w:pos="720"/>
        <w:tab w:val="num" w:pos="360"/>
      </w:tabs>
      <w:ind w:left="360"/>
    </w:pPr>
  </w:style>
  <w:style w:type="paragraph" w:customStyle="1" w:styleId="HRMStandardNumChar">
    <w:name w:val="HRM Standard Num Char"/>
    <w:basedOn w:val="HRMStandardChar"/>
    <w:link w:val="HRMStandardNumCharChar"/>
    <w:rsid w:val="00670DF6"/>
    <w:rPr>
      <w:rFonts w:eastAsia="Arial Unicode MS"/>
    </w:rPr>
  </w:style>
  <w:style w:type="paragraph" w:styleId="Beschriftung">
    <w:name w:val="caption"/>
    <w:aliases w:val=" Char,Char"/>
    <w:basedOn w:val="Standard"/>
    <w:next w:val="Standard"/>
    <w:link w:val="BeschriftungZchn"/>
    <w:qFormat/>
    <w:rsid w:val="00670DF6"/>
    <w:pPr>
      <w:spacing w:before="120" w:after="120"/>
    </w:pPr>
    <w:rPr>
      <w:b/>
      <w:bCs/>
      <w:sz w:val="20"/>
    </w:rPr>
  </w:style>
  <w:style w:type="character" w:customStyle="1" w:styleId="BeschriftungZchn">
    <w:name w:val="Beschriftung Zchn"/>
    <w:aliases w:val=" Char Zchn,Char Zchn"/>
    <w:basedOn w:val="Absatz-Standardschriftart"/>
    <w:link w:val="Beschriftung"/>
    <w:rsid w:val="00670DF6"/>
    <w:rPr>
      <w:rFonts w:ascii="Arial" w:hAnsi="Arial"/>
      <w:b/>
      <w:bCs/>
      <w:lang w:val="de-CH" w:eastAsia="de-DE" w:bidi="ar-SA"/>
    </w:rPr>
  </w:style>
  <w:style w:type="character" w:customStyle="1" w:styleId="CharChar">
    <w:name w:val="Char Char"/>
    <w:basedOn w:val="Absatz-Standardschriftart"/>
    <w:rsid w:val="00670DF6"/>
    <w:rPr>
      <w:rFonts w:ascii="Gill Alt One MT Light" w:hAnsi="Gill Alt One MT Light"/>
      <w:b/>
      <w:bCs/>
      <w:lang w:val="de-CH" w:eastAsia="de-DE" w:bidi="ar-SA"/>
    </w:rPr>
  </w:style>
  <w:style w:type="paragraph" w:customStyle="1" w:styleId="FVHRM2EmpfChar">
    <w:name w:val="FVHRM2Empf Char"/>
    <w:basedOn w:val="HRMStandardNumChar"/>
    <w:link w:val="FVHRM2EmpfCharChar"/>
    <w:rsid w:val="00670DF6"/>
    <w:rPr>
      <w:b/>
    </w:rPr>
  </w:style>
  <w:style w:type="paragraph" w:customStyle="1" w:styleId="FVHRM2Ziff">
    <w:name w:val="FVHRM2Ziff"/>
    <w:basedOn w:val="HRMStandardChar"/>
    <w:rsid w:val="00670DF6"/>
    <w:pPr>
      <w:spacing w:before="120" w:after="120"/>
    </w:pPr>
    <w:rPr>
      <w:b/>
      <w:i/>
    </w:rPr>
  </w:style>
  <w:style w:type="paragraph" w:customStyle="1" w:styleId="FormatvorlageGesetzesartikel">
    <w:name w:val="Formatvorlage Gesetzesartikel"/>
    <w:basedOn w:val="FormatvorlageStandard"/>
    <w:rsid w:val="00670DF6"/>
    <w:pPr>
      <w:spacing w:after="120" w:line="240" w:lineRule="auto"/>
      <w:ind w:left="1134" w:right="1134"/>
    </w:pPr>
    <w:rPr>
      <w:rFonts w:eastAsia="Arial Unicode MS"/>
      <w:sz w:val="20"/>
    </w:rPr>
  </w:style>
  <w:style w:type="paragraph" w:styleId="Sprechblasentext">
    <w:name w:val="Balloon Text"/>
    <w:basedOn w:val="Standard"/>
    <w:semiHidden/>
    <w:rsid w:val="00670DF6"/>
    <w:rPr>
      <w:rFonts w:ascii="Tahoma" w:hAnsi="Tahoma" w:cs="Tahoma"/>
      <w:sz w:val="16"/>
      <w:szCs w:val="16"/>
    </w:rPr>
  </w:style>
  <w:style w:type="table" w:styleId="Tabellenraster">
    <w:name w:val="Table Grid"/>
    <w:basedOn w:val="NormaleTabelle"/>
    <w:rsid w:val="00670DF6"/>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lieSchriftNormal">
    <w:name w:val="FolieSchriftNormal"/>
    <w:basedOn w:val="Standard"/>
    <w:next w:val="Standard"/>
    <w:rsid w:val="00670DF6"/>
    <w:pPr>
      <w:overflowPunct/>
      <w:autoSpaceDE/>
      <w:autoSpaceDN/>
      <w:adjustRightInd/>
      <w:textAlignment w:val="auto"/>
    </w:pPr>
    <w:rPr>
      <w:sz w:val="48"/>
      <w:lang w:val="en-GB"/>
    </w:rPr>
  </w:style>
  <w:style w:type="paragraph" w:customStyle="1" w:styleId="TitelFolie">
    <w:name w:val="TitelFolie"/>
    <w:basedOn w:val="Standard"/>
    <w:next w:val="Standard"/>
    <w:rsid w:val="00670DF6"/>
    <w:pPr>
      <w:pBdr>
        <w:top w:val="single" w:sz="6" w:space="1" w:color="auto"/>
        <w:left w:val="single" w:sz="6" w:space="1" w:color="auto"/>
        <w:bottom w:val="single" w:sz="6" w:space="1" w:color="auto"/>
        <w:right w:val="single" w:sz="6" w:space="1" w:color="auto"/>
      </w:pBdr>
      <w:shd w:val="pct20" w:color="auto" w:fill="auto"/>
      <w:overflowPunct/>
      <w:autoSpaceDE/>
      <w:autoSpaceDN/>
      <w:adjustRightInd/>
      <w:textAlignment w:val="auto"/>
    </w:pPr>
    <w:rPr>
      <w:b/>
      <w:sz w:val="52"/>
      <w:lang w:val="de-DE"/>
    </w:rPr>
  </w:style>
  <w:style w:type="paragraph" w:customStyle="1" w:styleId="UmfrageStandard">
    <w:name w:val="Umfrage Standard"/>
    <w:basedOn w:val="Standard"/>
    <w:rsid w:val="00670DF6"/>
    <w:pPr>
      <w:overflowPunct/>
      <w:autoSpaceDE/>
      <w:autoSpaceDN/>
      <w:adjustRightInd/>
      <w:spacing w:line="360" w:lineRule="auto"/>
      <w:textAlignment w:val="auto"/>
    </w:pPr>
    <w:rPr>
      <w:rFonts w:ascii="Times New Roman" w:hAnsi="Times New Roman"/>
      <w:lang w:val="de-DE"/>
    </w:rPr>
  </w:style>
  <w:style w:type="paragraph" w:styleId="Textkrper">
    <w:name w:val="Body Text"/>
    <w:aliases w:val="Textkörper Char"/>
    <w:basedOn w:val="Standard"/>
    <w:rsid w:val="00670DF6"/>
    <w:pPr>
      <w:overflowPunct/>
      <w:autoSpaceDE/>
      <w:autoSpaceDN/>
      <w:adjustRightInd/>
      <w:spacing w:line="312" w:lineRule="auto"/>
      <w:textAlignment w:val="auto"/>
    </w:pPr>
    <w:rPr>
      <w:rFonts w:ascii="Times New Roman" w:hAnsi="Times New Roman"/>
    </w:rPr>
  </w:style>
  <w:style w:type="paragraph" w:customStyle="1" w:styleId="Textkrper2">
    <w:name w:val="Textkörper2"/>
    <w:basedOn w:val="Textkrper"/>
    <w:rsid w:val="00670DF6"/>
    <w:pPr>
      <w:spacing w:before="120"/>
      <w:jc w:val="both"/>
    </w:pPr>
    <w:rPr>
      <w:i/>
    </w:rPr>
  </w:style>
  <w:style w:type="paragraph" w:customStyle="1" w:styleId="Verzeichnis0">
    <w:name w:val="Verzeichnis 0"/>
    <w:basedOn w:val="Verzeichnis1"/>
    <w:rsid w:val="00670DF6"/>
    <w:pPr>
      <w:tabs>
        <w:tab w:val="left" w:pos="400"/>
        <w:tab w:val="right" w:leader="dot" w:pos="9062"/>
      </w:tabs>
      <w:overflowPunct/>
      <w:autoSpaceDE/>
      <w:autoSpaceDN/>
      <w:adjustRightInd/>
      <w:spacing w:before="120" w:after="120"/>
      <w:textAlignment w:val="auto"/>
    </w:pPr>
    <w:rPr>
      <w:rFonts w:ascii="Times New Roman" w:hAnsi="Times New Roman"/>
      <w:b w:val="0"/>
      <w:bCs w:val="0"/>
      <w:caps w:val="0"/>
      <w:noProof/>
      <w:lang w:val="de-DE"/>
    </w:rPr>
  </w:style>
  <w:style w:type="paragraph" w:styleId="Textkrper20">
    <w:name w:val="Body Text 2"/>
    <w:basedOn w:val="Standard"/>
    <w:rsid w:val="00670DF6"/>
    <w:pPr>
      <w:overflowPunct/>
      <w:autoSpaceDE/>
      <w:autoSpaceDN/>
      <w:adjustRightInd/>
      <w:textAlignment w:val="auto"/>
    </w:pPr>
    <w:rPr>
      <w:b/>
      <w:sz w:val="28"/>
      <w:lang w:val="de-DE"/>
    </w:rPr>
  </w:style>
  <w:style w:type="paragraph" w:customStyle="1" w:styleId="REFVStandard">
    <w:name w:val="REFVStandard"/>
    <w:basedOn w:val="Standard"/>
    <w:rsid w:val="00670DF6"/>
    <w:pPr>
      <w:overflowPunct/>
      <w:autoSpaceDE/>
      <w:autoSpaceDN/>
      <w:adjustRightInd/>
      <w:spacing w:line="360" w:lineRule="auto"/>
      <w:jc w:val="both"/>
      <w:textAlignment w:val="auto"/>
    </w:pPr>
    <w:rPr>
      <w:rFonts w:ascii="Gill Alt One MT Light" w:hAnsi="Gill Alt One MT Light"/>
      <w:sz w:val="22"/>
      <w:szCs w:val="22"/>
      <w:lang w:val="de-DE"/>
    </w:rPr>
  </w:style>
  <w:style w:type="paragraph" w:customStyle="1" w:styleId="REFVberschrift1">
    <w:name w:val="REFVÜberschrift 1"/>
    <w:basedOn w:val="berschrift1"/>
    <w:next w:val="REFVStandard"/>
    <w:autoRedefine/>
    <w:rsid w:val="00670DF6"/>
    <w:pPr>
      <w:numPr>
        <w:numId w:val="9"/>
      </w:numPr>
      <w:tabs>
        <w:tab w:val="clear" w:pos="432"/>
        <w:tab w:val="num" w:pos="360"/>
      </w:tabs>
      <w:spacing w:line="360" w:lineRule="auto"/>
      <w:ind w:left="708" w:hanging="708"/>
      <w:outlineLvl w:val="9"/>
    </w:pPr>
    <w:rPr>
      <w:rFonts w:ascii="Gill Alt One MT Light" w:eastAsia="Arial Unicode MS" w:hAnsi="Gill Alt One MT Light"/>
      <w:bCs/>
      <w:kern w:val="32"/>
      <w:sz w:val="32"/>
      <w:szCs w:val="32"/>
      <w:lang w:val="de-DE"/>
    </w:rPr>
  </w:style>
  <w:style w:type="paragraph" w:customStyle="1" w:styleId="REFVberschrift2">
    <w:name w:val="REFVÜberschrift 2"/>
    <w:basedOn w:val="berschrift2"/>
    <w:next w:val="REFVStandard"/>
    <w:autoRedefine/>
    <w:rsid w:val="00670DF6"/>
    <w:pPr>
      <w:keepNext w:val="0"/>
      <w:numPr>
        <w:ilvl w:val="2"/>
        <w:numId w:val="9"/>
      </w:numPr>
      <w:tabs>
        <w:tab w:val="clear" w:pos="720"/>
        <w:tab w:val="num" w:pos="360"/>
        <w:tab w:val="num" w:pos="576"/>
      </w:tabs>
      <w:spacing w:line="360" w:lineRule="auto"/>
      <w:ind w:left="576" w:hanging="576"/>
      <w:outlineLvl w:val="9"/>
    </w:pPr>
    <w:rPr>
      <w:rFonts w:ascii="Times New Roman" w:eastAsia="Arial Unicode MS" w:hAnsi="Times New Roman"/>
      <w:iCs/>
      <w:kern w:val="0"/>
      <w:sz w:val="28"/>
      <w:szCs w:val="28"/>
      <w:lang w:val="de-DE"/>
    </w:rPr>
  </w:style>
  <w:style w:type="paragraph" w:customStyle="1" w:styleId="REFVberschrift3">
    <w:name w:val="REFVÜberschrift 3"/>
    <w:basedOn w:val="berschrift3"/>
    <w:next w:val="REFVStandard"/>
    <w:autoRedefine/>
    <w:rsid w:val="00670DF6"/>
    <w:pPr>
      <w:numPr>
        <w:ilvl w:val="4"/>
        <w:numId w:val="9"/>
      </w:numPr>
      <w:tabs>
        <w:tab w:val="clear" w:pos="1008"/>
        <w:tab w:val="num" w:pos="720"/>
      </w:tabs>
      <w:spacing w:line="360" w:lineRule="auto"/>
      <w:ind w:left="720" w:hanging="720"/>
    </w:pPr>
    <w:rPr>
      <w:rFonts w:ascii="Times New Roman" w:eastAsia="Arial Unicode MS" w:hAnsi="Times New Roman"/>
      <w:bCs/>
      <w:i w:val="0"/>
      <w:sz w:val="28"/>
      <w:szCs w:val="28"/>
      <w:lang w:val="de-DE"/>
    </w:rPr>
  </w:style>
  <w:style w:type="paragraph" w:customStyle="1" w:styleId="REFVberschrift5">
    <w:name w:val="REFVÜberschrift 5"/>
    <w:basedOn w:val="berschrift5"/>
    <w:next w:val="REFVStandard"/>
    <w:autoRedefine/>
    <w:rsid w:val="00670DF6"/>
    <w:pPr>
      <w:keepNext w:val="0"/>
      <w:numPr>
        <w:ilvl w:val="5"/>
        <w:numId w:val="9"/>
      </w:numPr>
      <w:tabs>
        <w:tab w:val="clear" w:pos="1152"/>
        <w:tab w:val="num" w:pos="1008"/>
      </w:tabs>
      <w:spacing w:before="240" w:after="60"/>
      <w:ind w:left="1008" w:hanging="1008"/>
    </w:pPr>
    <w:rPr>
      <w:rFonts w:ascii="Garamond" w:hAnsi="Garamond"/>
      <w:b/>
      <w:bCs/>
      <w:i/>
      <w:iCs/>
      <w:sz w:val="26"/>
      <w:szCs w:val="26"/>
      <w:lang w:val="de-CH"/>
    </w:rPr>
  </w:style>
  <w:style w:type="paragraph" w:customStyle="1" w:styleId="REFVberschrift6">
    <w:name w:val="REFVÜberschrift 6"/>
    <w:basedOn w:val="berschrift6"/>
    <w:next w:val="REFVStandard"/>
    <w:autoRedefine/>
    <w:rsid w:val="00670DF6"/>
    <w:pPr>
      <w:keepNext w:val="0"/>
      <w:numPr>
        <w:ilvl w:val="3"/>
        <w:numId w:val="9"/>
      </w:numPr>
      <w:tabs>
        <w:tab w:val="clear" w:pos="864"/>
        <w:tab w:val="num" w:pos="1152"/>
      </w:tabs>
      <w:spacing w:before="240" w:after="60"/>
      <w:ind w:left="1152" w:hanging="1152"/>
    </w:pPr>
    <w:rPr>
      <w:bCs/>
      <w:sz w:val="22"/>
      <w:szCs w:val="22"/>
      <w:lang w:val="de-CH"/>
    </w:rPr>
  </w:style>
  <w:style w:type="paragraph" w:customStyle="1" w:styleId="REFVberschrift4">
    <w:name w:val="REFVÜberschrift 4"/>
    <w:basedOn w:val="berschrift4"/>
    <w:next w:val="REFVStandard"/>
    <w:autoRedefine/>
    <w:rsid w:val="00670DF6"/>
    <w:pPr>
      <w:numPr>
        <w:ilvl w:val="0"/>
        <w:numId w:val="0"/>
      </w:numPr>
      <w:tabs>
        <w:tab w:val="num" w:pos="2880"/>
      </w:tabs>
      <w:spacing w:before="240" w:after="60" w:line="240" w:lineRule="auto"/>
      <w:ind w:left="2880" w:hanging="360"/>
    </w:pPr>
    <w:rPr>
      <w:bCs/>
      <w:i w:val="0"/>
      <w:sz w:val="28"/>
      <w:szCs w:val="28"/>
      <w:lang w:val="de-CH"/>
    </w:rPr>
  </w:style>
  <w:style w:type="paragraph" w:customStyle="1" w:styleId="REFVberschriftA">
    <w:name w:val="REFVÜberschrift A"/>
    <w:basedOn w:val="berschrift1"/>
    <w:rsid w:val="00670DF6"/>
    <w:pPr>
      <w:numPr>
        <w:numId w:val="0"/>
      </w:numPr>
    </w:pPr>
    <w:rPr>
      <w:bCs/>
      <w:kern w:val="32"/>
      <w:sz w:val="32"/>
      <w:szCs w:val="32"/>
    </w:rPr>
  </w:style>
  <w:style w:type="paragraph" w:customStyle="1" w:styleId="FormatvorlageAnhang">
    <w:name w:val="Formatvorlage Anhang"/>
    <w:basedOn w:val="REFVberschriftA"/>
    <w:next w:val="FormatvorlageStandard"/>
    <w:rsid w:val="00670DF6"/>
    <w:pPr>
      <w:numPr>
        <w:numId w:val="10"/>
      </w:numPr>
    </w:pPr>
    <w:rPr>
      <w:rFonts w:ascii="Gill Alt One MT Light" w:hAnsi="Gill Alt One MT Light"/>
    </w:rPr>
  </w:style>
  <w:style w:type="paragraph" w:customStyle="1" w:styleId="FormatvorlageBeschriftungChar">
    <w:name w:val="Formatvorlage Beschriftung Char"/>
    <w:basedOn w:val="Beschriftung"/>
    <w:link w:val="FormatvorlageBeschriftungCharChar"/>
    <w:rsid w:val="00670DF6"/>
    <w:pPr>
      <w:overflowPunct/>
      <w:autoSpaceDE/>
      <w:autoSpaceDN/>
      <w:adjustRightInd/>
      <w:textAlignment w:val="auto"/>
    </w:pPr>
    <w:rPr>
      <w:sz w:val="24"/>
    </w:rPr>
  </w:style>
  <w:style w:type="character" w:customStyle="1" w:styleId="FormatvorlageBeschriftungCharChar">
    <w:name w:val="Formatvorlage Beschriftung Char Char"/>
    <w:basedOn w:val="BeschriftungZchn"/>
    <w:link w:val="FormatvorlageBeschriftungChar"/>
    <w:rsid w:val="00670DF6"/>
    <w:rPr>
      <w:rFonts w:ascii="Arial" w:hAnsi="Arial"/>
      <w:b/>
      <w:bCs/>
      <w:sz w:val="24"/>
      <w:lang w:val="de-CH" w:eastAsia="de-DE" w:bidi="ar-SA"/>
    </w:rPr>
  </w:style>
  <w:style w:type="paragraph" w:customStyle="1" w:styleId="REFVStandardCharCharChar">
    <w:name w:val="REFVStandard Char Char Char"/>
    <w:basedOn w:val="Standard"/>
    <w:link w:val="REFVStandardCharCharCharChar"/>
    <w:autoRedefine/>
    <w:rsid w:val="00670DF6"/>
    <w:pPr>
      <w:overflowPunct/>
      <w:autoSpaceDE/>
      <w:autoSpaceDN/>
      <w:adjustRightInd/>
      <w:spacing w:line="360" w:lineRule="auto"/>
      <w:ind w:right="-110"/>
      <w:jc w:val="both"/>
      <w:textAlignment w:val="auto"/>
    </w:pPr>
    <w:rPr>
      <w:b/>
      <w:bCs/>
      <w:color w:val="000000"/>
      <w:sz w:val="22"/>
      <w:szCs w:val="22"/>
      <w:lang w:val="de-DE"/>
    </w:rPr>
  </w:style>
  <w:style w:type="character" w:customStyle="1" w:styleId="REFVStandardCharCharCharChar">
    <w:name w:val="REFVStandard Char Char Char Char"/>
    <w:basedOn w:val="Absatz-Standardschriftart"/>
    <w:link w:val="REFVStandardCharCharChar"/>
    <w:rsid w:val="00670DF6"/>
    <w:rPr>
      <w:rFonts w:ascii="Arial" w:hAnsi="Arial"/>
      <w:b/>
      <w:bCs/>
      <w:color w:val="000000"/>
      <w:sz w:val="22"/>
      <w:szCs w:val="22"/>
      <w:lang w:val="de-DE" w:eastAsia="de-DE" w:bidi="ar-SA"/>
    </w:rPr>
  </w:style>
  <w:style w:type="paragraph" w:customStyle="1" w:styleId="Absatz">
    <w:name w:val="Absatz"/>
    <w:rsid w:val="00670DF6"/>
    <w:pPr>
      <w:spacing w:before="80" w:line="200" w:lineRule="exact"/>
      <w:jc w:val="both"/>
    </w:pPr>
    <w:rPr>
      <w:noProof/>
      <w:sz w:val="18"/>
      <w:lang w:eastAsia="de-DE"/>
    </w:rPr>
  </w:style>
  <w:style w:type="paragraph" w:customStyle="1" w:styleId="Struktur1">
    <w:name w:val="Struktur 1"/>
    <w:rsid w:val="00670DF6"/>
    <w:pPr>
      <w:tabs>
        <w:tab w:val="left" w:pos="567"/>
      </w:tabs>
      <w:spacing w:before="80" w:line="200" w:lineRule="exact"/>
      <w:ind w:left="567" w:hanging="357"/>
      <w:jc w:val="both"/>
    </w:pPr>
    <w:rPr>
      <w:noProof/>
      <w:sz w:val="18"/>
      <w:lang w:eastAsia="de-DE"/>
    </w:rPr>
  </w:style>
  <w:style w:type="paragraph" w:customStyle="1" w:styleId="Struktur2">
    <w:name w:val="Struktur 2"/>
    <w:rsid w:val="00670DF6"/>
    <w:pPr>
      <w:tabs>
        <w:tab w:val="left" w:pos="924"/>
      </w:tabs>
      <w:spacing w:before="40" w:line="200" w:lineRule="exact"/>
      <w:ind w:left="924" w:hanging="357"/>
      <w:jc w:val="both"/>
    </w:pPr>
    <w:rPr>
      <w:noProof/>
      <w:sz w:val="18"/>
      <w:lang w:eastAsia="de-DE"/>
    </w:rPr>
  </w:style>
  <w:style w:type="paragraph" w:customStyle="1" w:styleId="Formatvorlageberschrift1">
    <w:name w:val="Formatvorlage Überschrift1"/>
    <w:basedOn w:val="berschrift1"/>
    <w:next w:val="FormatvorlageStandard"/>
    <w:link w:val="Formatvorlageberschrift1Char"/>
    <w:rsid w:val="00670DF6"/>
    <w:pPr>
      <w:numPr>
        <w:numId w:val="0"/>
      </w:numPr>
      <w:spacing w:before="120" w:after="240"/>
    </w:pPr>
    <w:rPr>
      <w:rFonts w:ascii="Gill Alt One MT Light" w:hAnsi="Gill Alt One MT Light"/>
      <w:sz w:val="36"/>
      <w:szCs w:val="20"/>
      <w:lang w:val="de-DE"/>
    </w:rPr>
  </w:style>
  <w:style w:type="character" w:customStyle="1" w:styleId="Formatvorlageberschrift1Char">
    <w:name w:val="Formatvorlage Überschrift1 Char"/>
    <w:basedOn w:val="berschrift1Zchn"/>
    <w:link w:val="Formatvorlageberschrift1"/>
    <w:rsid w:val="00670DF6"/>
    <w:rPr>
      <w:rFonts w:ascii="Gill Alt One MT Light" w:hAnsi="Gill Alt One MT Light"/>
      <w:b/>
      <w:kern w:val="28"/>
      <w:sz w:val="36"/>
      <w:szCs w:val="28"/>
      <w:lang w:val="de-DE" w:eastAsia="de-DE" w:bidi="ar-SA"/>
    </w:rPr>
  </w:style>
  <w:style w:type="paragraph" w:customStyle="1" w:styleId="FormatvorlageFormatvorlageberschrift114ptChar1">
    <w:name w:val="Formatvorlage Formatvorlage Überschrift1 + 14 pt Char1"/>
    <w:basedOn w:val="Formatvorlageberschrift1"/>
    <w:next w:val="FormatvorlageStandard"/>
    <w:link w:val="FormatvorlageFormatvorlageberschrift114ptChar1Char"/>
    <w:rsid w:val="00670DF6"/>
    <w:pPr>
      <w:tabs>
        <w:tab w:val="num" w:pos="207"/>
      </w:tabs>
      <w:spacing w:before="240" w:after="120"/>
      <w:ind w:left="207" w:hanging="567"/>
    </w:pPr>
    <w:rPr>
      <w:rFonts w:ascii="Arial" w:hAnsi="Arial"/>
      <w:bCs/>
      <w:sz w:val="28"/>
    </w:rPr>
  </w:style>
  <w:style w:type="character" w:customStyle="1" w:styleId="FormatvorlageFormatvorlageberschrift114ptChar1Char">
    <w:name w:val="Formatvorlage Formatvorlage Überschrift1 + 14 pt Char1 Char"/>
    <w:basedOn w:val="Formatvorlageberschrift1Char"/>
    <w:link w:val="FormatvorlageFormatvorlageberschrift114ptChar1"/>
    <w:rsid w:val="00670DF6"/>
    <w:rPr>
      <w:rFonts w:ascii="Arial" w:hAnsi="Arial"/>
      <w:b/>
      <w:bCs/>
      <w:kern w:val="28"/>
      <w:sz w:val="28"/>
      <w:szCs w:val="28"/>
      <w:lang w:val="de-DE" w:eastAsia="de-DE" w:bidi="ar-SA"/>
    </w:rPr>
  </w:style>
  <w:style w:type="character" w:customStyle="1" w:styleId="text1">
    <w:name w:val="text1"/>
    <w:basedOn w:val="Absatz-Standardschriftart"/>
    <w:rsid w:val="00670DF6"/>
    <w:rPr>
      <w:rFonts w:ascii="Arial" w:hAnsi="Arial" w:cs="Arial" w:hint="default"/>
      <w:b w:val="0"/>
      <w:bCs w:val="0"/>
      <w:color w:val="000000"/>
      <w:sz w:val="18"/>
      <w:szCs w:val="18"/>
    </w:rPr>
  </w:style>
  <w:style w:type="paragraph" w:customStyle="1" w:styleId="FormatvorlageREFVberschriftA18pt">
    <w:name w:val="Formatvorlage REFVÜberschrift A + 18 pt"/>
    <w:basedOn w:val="REFVberschriftA"/>
    <w:next w:val="FormatvorlageStandard"/>
    <w:rsid w:val="00670DF6"/>
    <w:pPr>
      <w:spacing w:after="120"/>
    </w:pPr>
    <w:rPr>
      <w:sz w:val="36"/>
    </w:rPr>
  </w:style>
  <w:style w:type="paragraph" w:customStyle="1" w:styleId="FormatvorlageArtikelberschrift">
    <w:name w:val="Formatvorlage Artikelüberschrift"/>
    <w:basedOn w:val="FormatvorlageGesetzesartikel"/>
    <w:rsid w:val="00670DF6"/>
    <w:pPr>
      <w:spacing w:before="240"/>
    </w:pPr>
    <w:rPr>
      <w:b/>
    </w:rPr>
  </w:style>
  <w:style w:type="paragraph" w:customStyle="1" w:styleId="05-Grundschrift">
    <w:name w:val="05-Grundschrift"/>
    <w:basedOn w:val="Standard"/>
    <w:autoRedefine/>
    <w:rsid w:val="00670DF6"/>
    <w:pPr>
      <w:tabs>
        <w:tab w:val="right" w:pos="6407"/>
      </w:tabs>
      <w:overflowPunct/>
      <w:autoSpaceDE/>
      <w:autoSpaceDN/>
      <w:adjustRightInd/>
      <w:textAlignment w:val="auto"/>
    </w:pPr>
    <w:rPr>
      <w:rFonts w:ascii="Times New Roman" w:hAnsi="Times New Roman"/>
      <w:sz w:val="18"/>
      <w:szCs w:val="18"/>
    </w:rPr>
  </w:style>
  <w:style w:type="paragraph" w:customStyle="1" w:styleId="15-Tab-a">
    <w:name w:val="15-Tab.-a."/>
    <w:basedOn w:val="Standard"/>
    <w:rsid w:val="00670DF6"/>
    <w:pPr>
      <w:tabs>
        <w:tab w:val="left" w:pos="284"/>
        <w:tab w:val="left" w:pos="567"/>
        <w:tab w:val="right" w:pos="6407"/>
      </w:tabs>
      <w:overflowPunct/>
      <w:autoSpaceDE/>
      <w:autoSpaceDN/>
      <w:adjustRightInd/>
      <w:ind w:left="284" w:hanging="284"/>
      <w:textAlignment w:val="auto"/>
    </w:pPr>
    <w:rPr>
      <w:rFonts w:ascii="Times New Roman" w:hAnsi="Times New Roman"/>
      <w:sz w:val="18"/>
      <w:szCs w:val="18"/>
    </w:rPr>
  </w:style>
  <w:style w:type="paragraph" w:customStyle="1" w:styleId="article">
    <w:name w:val="article"/>
    <w:basedOn w:val="Standard"/>
    <w:link w:val="articleZchn"/>
    <w:rsid w:val="00670DF6"/>
    <w:pPr>
      <w:overflowPunct/>
      <w:autoSpaceDE/>
      <w:autoSpaceDN/>
      <w:adjustRightInd/>
      <w:spacing w:before="100" w:beforeAutospacing="1" w:after="100" w:afterAutospacing="1"/>
      <w:textAlignment w:val="auto"/>
    </w:pPr>
    <w:rPr>
      <w:rFonts w:ascii="Times New Roman" w:hAnsi="Times New Roman"/>
      <w:szCs w:val="24"/>
      <w:lang w:val="de-DE"/>
    </w:rPr>
  </w:style>
  <w:style w:type="paragraph" w:styleId="Verzeichnis2">
    <w:name w:val="toc 2"/>
    <w:basedOn w:val="Standard"/>
    <w:next w:val="Standard"/>
    <w:autoRedefine/>
    <w:semiHidden/>
    <w:rsid w:val="00670DF6"/>
    <w:pPr>
      <w:tabs>
        <w:tab w:val="left" w:pos="720"/>
        <w:tab w:val="right" w:pos="9720"/>
      </w:tabs>
      <w:spacing w:before="240"/>
    </w:pPr>
    <w:rPr>
      <w:noProof/>
      <w:sz w:val="22"/>
      <w:szCs w:val="22"/>
    </w:rPr>
  </w:style>
  <w:style w:type="paragraph" w:styleId="Verzeichnis3">
    <w:name w:val="toc 3"/>
    <w:basedOn w:val="Standard"/>
    <w:next w:val="Standard"/>
    <w:autoRedefine/>
    <w:semiHidden/>
    <w:rsid w:val="00670DF6"/>
    <w:pPr>
      <w:tabs>
        <w:tab w:val="right" w:pos="9720"/>
      </w:tabs>
      <w:ind w:left="240" w:right="116"/>
    </w:pPr>
    <w:rPr>
      <w:rFonts w:ascii="Times New Roman" w:hAnsi="Times New Roman"/>
      <w:sz w:val="20"/>
    </w:rPr>
  </w:style>
  <w:style w:type="paragraph" w:styleId="Verzeichnis4">
    <w:name w:val="toc 4"/>
    <w:basedOn w:val="Standard"/>
    <w:next w:val="Standard"/>
    <w:autoRedefine/>
    <w:semiHidden/>
    <w:rsid w:val="00670DF6"/>
    <w:pPr>
      <w:ind w:left="480"/>
    </w:pPr>
    <w:rPr>
      <w:rFonts w:ascii="Times New Roman" w:hAnsi="Times New Roman"/>
      <w:sz w:val="20"/>
    </w:rPr>
  </w:style>
  <w:style w:type="paragraph" w:styleId="Verzeichnis5">
    <w:name w:val="toc 5"/>
    <w:basedOn w:val="Standard"/>
    <w:next w:val="Standard"/>
    <w:autoRedefine/>
    <w:semiHidden/>
    <w:rsid w:val="00670DF6"/>
    <w:pPr>
      <w:ind w:left="720"/>
    </w:pPr>
    <w:rPr>
      <w:rFonts w:ascii="Times New Roman" w:hAnsi="Times New Roman"/>
      <w:sz w:val="20"/>
    </w:rPr>
  </w:style>
  <w:style w:type="paragraph" w:styleId="Verzeichnis6">
    <w:name w:val="toc 6"/>
    <w:basedOn w:val="Standard"/>
    <w:next w:val="Standard"/>
    <w:autoRedefine/>
    <w:semiHidden/>
    <w:rsid w:val="00670DF6"/>
    <w:pPr>
      <w:ind w:left="960"/>
    </w:pPr>
    <w:rPr>
      <w:rFonts w:ascii="Times New Roman" w:hAnsi="Times New Roman"/>
      <w:sz w:val="20"/>
    </w:rPr>
  </w:style>
  <w:style w:type="paragraph" w:styleId="Verzeichnis7">
    <w:name w:val="toc 7"/>
    <w:basedOn w:val="Standard"/>
    <w:next w:val="Standard"/>
    <w:autoRedefine/>
    <w:semiHidden/>
    <w:rsid w:val="00670DF6"/>
    <w:pPr>
      <w:ind w:left="1200"/>
    </w:pPr>
    <w:rPr>
      <w:rFonts w:ascii="Times New Roman" w:hAnsi="Times New Roman"/>
      <w:sz w:val="20"/>
    </w:rPr>
  </w:style>
  <w:style w:type="paragraph" w:styleId="Verzeichnis8">
    <w:name w:val="toc 8"/>
    <w:basedOn w:val="Standard"/>
    <w:next w:val="Standard"/>
    <w:autoRedefine/>
    <w:semiHidden/>
    <w:rsid w:val="00670DF6"/>
    <w:pPr>
      <w:ind w:left="1440"/>
    </w:pPr>
    <w:rPr>
      <w:rFonts w:ascii="Times New Roman" w:hAnsi="Times New Roman"/>
      <w:sz w:val="20"/>
    </w:rPr>
  </w:style>
  <w:style w:type="paragraph" w:styleId="Verzeichnis9">
    <w:name w:val="toc 9"/>
    <w:basedOn w:val="Standard"/>
    <w:next w:val="Standard"/>
    <w:autoRedefine/>
    <w:semiHidden/>
    <w:rsid w:val="00670DF6"/>
    <w:pPr>
      <w:ind w:left="1680"/>
    </w:pPr>
    <w:rPr>
      <w:rFonts w:ascii="Times New Roman" w:hAnsi="Times New Roman"/>
      <w:sz w:val="20"/>
    </w:rPr>
  </w:style>
  <w:style w:type="numbering" w:customStyle="1" w:styleId="AktuelleListe1">
    <w:name w:val="Aktuelle Liste1"/>
    <w:rsid w:val="00670DF6"/>
  </w:style>
  <w:style w:type="character" w:styleId="BesuchterHyperlink">
    <w:name w:val="FollowedHyperlink"/>
    <w:basedOn w:val="Absatz-Standardschriftart"/>
    <w:rsid w:val="00670DF6"/>
    <w:rPr>
      <w:color w:val="800080"/>
      <w:u w:val="single"/>
    </w:rPr>
  </w:style>
  <w:style w:type="paragraph" w:customStyle="1" w:styleId="xl24">
    <w:name w:val="xl24"/>
    <w:basedOn w:val="Standard"/>
    <w:rsid w:val="00670DF6"/>
    <w:pPr>
      <w:overflowPunct/>
      <w:autoSpaceDE/>
      <w:autoSpaceDN/>
      <w:adjustRightInd/>
      <w:spacing w:before="100" w:beforeAutospacing="1" w:after="100" w:afterAutospacing="1"/>
      <w:textAlignment w:val="top"/>
    </w:pPr>
    <w:rPr>
      <w:rFonts w:cs="Arial"/>
      <w:szCs w:val="24"/>
      <w:lang w:val="de-DE"/>
    </w:rPr>
  </w:style>
  <w:style w:type="paragraph" w:customStyle="1" w:styleId="xl25">
    <w:name w:val="xl25"/>
    <w:basedOn w:val="Standard"/>
    <w:rsid w:val="00670DF6"/>
    <w:pPr>
      <w:pBdr>
        <w:right w:val="single" w:sz="4" w:space="0" w:color="auto"/>
      </w:pBdr>
      <w:overflowPunct/>
      <w:autoSpaceDE/>
      <w:autoSpaceDN/>
      <w:adjustRightInd/>
      <w:spacing w:before="100" w:beforeAutospacing="1" w:after="100" w:afterAutospacing="1"/>
      <w:textAlignment w:val="top"/>
    </w:pPr>
    <w:rPr>
      <w:rFonts w:cs="Arial"/>
      <w:b/>
      <w:bCs/>
      <w:sz w:val="18"/>
      <w:szCs w:val="18"/>
      <w:lang w:val="de-DE"/>
    </w:rPr>
  </w:style>
  <w:style w:type="paragraph" w:customStyle="1" w:styleId="xl26">
    <w:name w:val="xl26"/>
    <w:basedOn w:val="Standard"/>
    <w:rsid w:val="00670DF6"/>
    <w:pPr>
      <w:overflowPunct/>
      <w:autoSpaceDE/>
      <w:autoSpaceDN/>
      <w:adjustRightInd/>
      <w:spacing w:before="100" w:beforeAutospacing="1" w:after="100" w:afterAutospacing="1"/>
      <w:textAlignment w:val="top"/>
    </w:pPr>
    <w:rPr>
      <w:rFonts w:cs="Arial"/>
      <w:b/>
      <w:bCs/>
      <w:sz w:val="18"/>
      <w:szCs w:val="18"/>
      <w:lang w:val="de-DE"/>
    </w:rPr>
  </w:style>
  <w:style w:type="paragraph" w:customStyle="1" w:styleId="xl27">
    <w:name w:val="xl27"/>
    <w:basedOn w:val="Standard"/>
    <w:rsid w:val="00670DF6"/>
    <w:pPr>
      <w:pBdr>
        <w:right w:val="single" w:sz="4" w:space="0" w:color="auto"/>
      </w:pBdr>
      <w:overflowPunct/>
      <w:autoSpaceDE/>
      <w:autoSpaceDN/>
      <w:adjustRightInd/>
      <w:spacing w:before="100" w:beforeAutospacing="1" w:after="100" w:afterAutospacing="1"/>
      <w:textAlignment w:val="top"/>
    </w:pPr>
    <w:rPr>
      <w:rFonts w:cs="Arial"/>
      <w:sz w:val="18"/>
      <w:szCs w:val="18"/>
      <w:lang w:val="de-DE"/>
    </w:rPr>
  </w:style>
  <w:style w:type="paragraph" w:customStyle="1" w:styleId="xl28">
    <w:name w:val="xl28"/>
    <w:basedOn w:val="Standard"/>
    <w:rsid w:val="00670DF6"/>
    <w:pPr>
      <w:overflowPunct/>
      <w:autoSpaceDE/>
      <w:autoSpaceDN/>
      <w:adjustRightInd/>
      <w:spacing w:before="100" w:beforeAutospacing="1" w:after="100" w:afterAutospacing="1"/>
      <w:textAlignment w:val="top"/>
    </w:pPr>
    <w:rPr>
      <w:rFonts w:cs="Arial"/>
      <w:sz w:val="18"/>
      <w:szCs w:val="18"/>
      <w:lang w:val="de-DE"/>
    </w:rPr>
  </w:style>
  <w:style w:type="paragraph" w:customStyle="1" w:styleId="xl29">
    <w:name w:val="xl29"/>
    <w:basedOn w:val="Standard"/>
    <w:rsid w:val="00670DF6"/>
    <w:pPr>
      <w:pBdr>
        <w:right w:val="single" w:sz="4" w:space="0" w:color="auto"/>
      </w:pBdr>
      <w:overflowPunct/>
      <w:autoSpaceDE/>
      <w:autoSpaceDN/>
      <w:adjustRightInd/>
      <w:spacing w:before="100" w:beforeAutospacing="1" w:after="100" w:afterAutospacing="1"/>
      <w:textAlignment w:val="top"/>
    </w:pPr>
    <w:rPr>
      <w:rFonts w:cs="Arial"/>
      <w:sz w:val="18"/>
      <w:szCs w:val="18"/>
      <w:lang w:val="de-DE"/>
    </w:rPr>
  </w:style>
  <w:style w:type="paragraph" w:customStyle="1" w:styleId="xl30">
    <w:name w:val="xl30"/>
    <w:basedOn w:val="Standard"/>
    <w:rsid w:val="00670DF6"/>
    <w:pPr>
      <w:overflowPunct/>
      <w:autoSpaceDE/>
      <w:autoSpaceDN/>
      <w:adjustRightInd/>
      <w:spacing w:before="100" w:beforeAutospacing="1" w:after="100" w:afterAutospacing="1"/>
      <w:textAlignment w:val="top"/>
    </w:pPr>
    <w:rPr>
      <w:rFonts w:cs="Arial"/>
      <w:sz w:val="18"/>
      <w:szCs w:val="18"/>
      <w:lang w:val="de-DE"/>
    </w:rPr>
  </w:style>
  <w:style w:type="paragraph" w:customStyle="1" w:styleId="xl31">
    <w:name w:val="xl31"/>
    <w:basedOn w:val="Standard"/>
    <w:rsid w:val="00670DF6"/>
    <w:pPr>
      <w:pBdr>
        <w:right w:val="single" w:sz="4" w:space="0" w:color="auto"/>
      </w:pBdr>
      <w:overflowPunct/>
      <w:autoSpaceDE/>
      <w:autoSpaceDN/>
      <w:adjustRightInd/>
      <w:spacing w:before="100" w:beforeAutospacing="1" w:after="100" w:afterAutospacing="1"/>
      <w:textAlignment w:val="top"/>
    </w:pPr>
    <w:rPr>
      <w:rFonts w:cs="Arial"/>
      <w:color w:val="FF0000"/>
      <w:sz w:val="18"/>
      <w:szCs w:val="18"/>
      <w:lang w:val="de-DE"/>
    </w:rPr>
  </w:style>
  <w:style w:type="paragraph" w:customStyle="1" w:styleId="xl32">
    <w:name w:val="xl32"/>
    <w:basedOn w:val="Standard"/>
    <w:rsid w:val="00670DF6"/>
    <w:pPr>
      <w:overflowPunct/>
      <w:autoSpaceDE/>
      <w:autoSpaceDN/>
      <w:adjustRightInd/>
      <w:spacing w:before="100" w:beforeAutospacing="1" w:after="100" w:afterAutospacing="1"/>
      <w:textAlignment w:val="top"/>
    </w:pPr>
    <w:rPr>
      <w:rFonts w:cs="Arial"/>
      <w:color w:val="FF0000"/>
      <w:sz w:val="18"/>
      <w:szCs w:val="18"/>
      <w:lang w:val="de-DE"/>
    </w:rPr>
  </w:style>
  <w:style w:type="paragraph" w:customStyle="1" w:styleId="xl33">
    <w:name w:val="xl33"/>
    <w:basedOn w:val="Standard"/>
    <w:rsid w:val="00670DF6"/>
    <w:pPr>
      <w:pBdr>
        <w:right w:val="single" w:sz="4" w:space="0" w:color="auto"/>
      </w:pBdr>
      <w:overflowPunct/>
      <w:autoSpaceDE/>
      <w:autoSpaceDN/>
      <w:adjustRightInd/>
      <w:spacing w:before="100" w:beforeAutospacing="1" w:after="100" w:afterAutospacing="1"/>
      <w:textAlignment w:val="auto"/>
    </w:pPr>
    <w:rPr>
      <w:rFonts w:cs="Arial"/>
      <w:b/>
      <w:bCs/>
      <w:sz w:val="18"/>
      <w:szCs w:val="18"/>
      <w:lang w:val="de-DE"/>
    </w:rPr>
  </w:style>
  <w:style w:type="paragraph" w:customStyle="1" w:styleId="xl34">
    <w:name w:val="xl34"/>
    <w:basedOn w:val="Standard"/>
    <w:rsid w:val="00670DF6"/>
    <w:pPr>
      <w:overflowPunct/>
      <w:autoSpaceDE/>
      <w:autoSpaceDN/>
      <w:adjustRightInd/>
      <w:spacing w:before="100" w:beforeAutospacing="1" w:after="100" w:afterAutospacing="1"/>
      <w:jc w:val="right"/>
      <w:textAlignment w:val="top"/>
    </w:pPr>
    <w:rPr>
      <w:rFonts w:cs="Arial"/>
      <w:sz w:val="18"/>
      <w:szCs w:val="18"/>
      <w:lang w:val="de-DE"/>
    </w:rPr>
  </w:style>
  <w:style w:type="paragraph" w:customStyle="1" w:styleId="xl35">
    <w:name w:val="xl35"/>
    <w:basedOn w:val="Standard"/>
    <w:rsid w:val="00670DF6"/>
    <w:pPr>
      <w:overflowPunct/>
      <w:autoSpaceDE/>
      <w:autoSpaceDN/>
      <w:adjustRightInd/>
      <w:spacing w:before="100" w:beforeAutospacing="1" w:after="100" w:afterAutospacing="1"/>
      <w:jc w:val="right"/>
      <w:textAlignment w:val="top"/>
    </w:pPr>
    <w:rPr>
      <w:rFonts w:cs="Arial"/>
      <w:sz w:val="18"/>
      <w:szCs w:val="18"/>
      <w:lang w:val="de-DE"/>
    </w:rPr>
  </w:style>
  <w:style w:type="paragraph" w:customStyle="1" w:styleId="xl36">
    <w:name w:val="xl36"/>
    <w:basedOn w:val="Standard"/>
    <w:rsid w:val="00670DF6"/>
    <w:pPr>
      <w:overflowPunct/>
      <w:autoSpaceDE/>
      <w:autoSpaceDN/>
      <w:adjustRightInd/>
      <w:spacing w:before="100" w:beforeAutospacing="1" w:after="100" w:afterAutospacing="1"/>
      <w:jc w:val="right"/>
      <w:textAlignment w:val="top"/>
    </w:pPr>
    <w:rPr>
      <w:rFonts w:cs="Arial"/>
      <w:b/>
      <w:bCs/>
      <w:sz w:val="18"/>
      <w:szCs w:val="18"/>
      <w:lang w:val="de-DE"/>
    </w:rPr>
  </w:style>
  <w:style w:type="paragraph" w:customStyle="1" w:styleId="xl37">
    <w:name w:val="xl37"/>
    <w:basedOn w:val="Standard"/>
    <w:rsid w:val="00670DF6"/>
    <w:pPr>
      <w:overflowPunct/>
      <w:autoSpaceDE/>
      <w:autoSpaceDN/>
      <w:adjustRightInd/>
      <w:spacing w:before="100" w:beforeAutospacing="1" w:after="100" w:afterAutospacing="1"/>
      <w:jc w:val="right"/>
      <w:textAlignment w:val="top"/>
    </w:pPr>
    <w:rPr>
      <w:rFonts w:cs="Arial"/>
      <w:sz w:val="18"/>
      <w:szCs w:val="18"/>
      <w:lang w:val="de-DE"/>
    </w:rPr>
  </w:style>
  <w:style w:type="paragraph" w:customStyle="1" w:styleId="xl38">
    <w:name w:val="xl38"/>
    <w:basedOn w:val="Standard"/>
    <w:rsid w:val="00670DF6"/>
    <w:pPr>
      <w:overflowPunct/>
      <w:autoSpaceDE/>
      <w:autoSpaceDN/>
      <w:adjustRightInd/>
      <w:spacing w:before="100" w:beforeAutospacing="1" w:after="100" w:afterAutospacing="1"/>
      <w:jc w:val="right"/>
      <w:textAlignment w:val="top"/>
    </w:pPr>
    <w:rPr>
      <w:rFonts w:cs="Arial"/>
      <w:color w:val="FF0000"/>
      <w:sz w:val="18"/>
      <w:szCs w:val="18"/>
      <w:lang w:val="de-DE"/>
    </w:rPr>
  </w:style>
  <w:style w:type="paragraph" w:customStyle="1" w:styleId="xl39">
    <w:name w:val="xl39"/>
    <w:basedOn w:val="Standard"/>
    <w:rsid w:val="00670DF6"/>
    <w:pPr>
      <w:overflowPunct/>
      <w:autoSpaceDE/>
      <w:autoSpaceDN/>
      <w:adjustRightInd/>
      <w:spacing w:before="100" w:beforeAutospacing="1" w:after="100" w:afterAutospacing="1"/>
      <w:textAlignment w:val="top"/>
    </w:pPr>
    <w:rPr>
      <w:rFonts w:cs="Arial"/>
      <w:color w:val="FF0000"/>
      <w:sz w:val="18"/>
      <w:szCs w:val="18"/>
      <w:lang w:val="de-DE"/>
    </w:rPr>
  </w:style>
  <w:style w:type="paragraph" w:customStyle="1" w:styleId="xl40">
    <w:name w:val="xl40"/>
    <w:basedOn w:val="Standard"/>
    <w:rsid w:val="00670DF6"/>
    <w:pPr>
      <w:pBdr>
        <w:left w:val="single" w:sz="4" w:space="0" w:color="auto"/>
      </w:pBdr>
      <w:overflowPunct/>
      <w:autoSpaceDE/>
      <w:autoSpaceDN/>
      <w:adjustRightInd/>
      <w:spacing w:before="100" w:beforeAutospacing="1" w:after="100" w:afterAutospacing="1"/>
      <w:jc w:val="right"/>
      <w:textAlignment w:val="top"/>
    </w:pPr>
    <w:rPr>
      <w:rFonts w:cs="Arial"/>
      <w:b/>
      <w:bCs/>
      <w:sz w:val="18"/>
      <w:szCs w:val="18"/>
      <w:lang w:val="de-DE"/>
    </w:rPr>
  </w:style>
  <w:style w:type="paragraph" w:customStyle="1" w:styleId="xl41">
    <w:name w:val="xl41"/>
    <w:basedOn w:val="Standard"/>
    <w:link w:val="xl41Zchn"/>
    <w:rsid w:val="00670DF6"/>
    <w:pPr>
      <w:pBdr>
        <w:left w:val="single" w:sz="4" w:space="0" w:color="auto"/>
      </w:pBdr>
      <w:overflowPunct/>
      <w:autoSpaceDE/>
      <w:autoSpaceDN/>
      <w:adjustRightInd/>
      <w:spacing w:before="100" w:beforeAutospacing="1" w:after="100" w:afterAutospacing="1"/>
      <w:jc w:val="right"/>
      <w:textAlignment w:val="top"/>
    </w:pPr>
    <w:rPr>
      <w:rFonts w:cs="Arial"/>
      <w:sz w:val="18"/>
      <w:szCs w:val="18"/>
      <w:lang w:val="de-DE"/>
    </w:rPr>
  </w:style>
  <w:style w:type="paragraph" w:customStyle="1" w:styleId="xl42">
    <w:name w:val="xl42"/>
    <w:basedOn w:val="Standard"/>
    <w:rsid w:val="00670DF6"/>
    <w:pPr>
      <w:pBdr>
        <w:left w:val="single" w:sz="4" w:space="0" w:color="auto"/>
      </w:pBdr>
      <w:overflowPunct/>
      <w:autoSpaceDE/>
      <w:autoSpaceDN/>
      <w:adjustRightInd/>
      <w:spacing w:before="100" w:beforeAutospacing="1" w:after="100" w:afterAutospacing="1"/>
      <w:textAlignment w:val="top"/>
    </w:pPr>
    <w:rPr>
      <w:rFonts w:cs="Arial"/>
      <w:szCs w:val="24"/>
      <w:lang w:val="de-DE"/>
    </w:rPr>
  </w:style>
  <w:style w:type="paragraph" w:customStyle="1" w:styleId="xl43">
    <w:name w:val="xl43"/>
    <w:basedOn w:val="Standard"/>
    <w:link w:val="xl43Zchn"/>
    <w:rsid w:val="00670DF6"/>
    <w:pPr>
      <w:pBdr>
        <w:left w:val="single" w:sz="4" w:space="0" w:color="auto"/>
      </w:pBdr>
      <w:overflowPunct/>
      <w:autoSpaceDE/>
      <w:autoSpaceDN/>
      <w:adjustRightInd/>
      <w:spacing w:before="100" w:beforeAutospacing="1" w:after="100" w:afterAutospacing="1"/>
      <w:jc w:val="right"/>
      <w:textAlignment w:val="top"/>
    </w:pPr>
    <w:rPr>
      <w:rFonts w:cs="Arial"/>
      <w:sz w:val="18"/>
      <w:szCs w:val="18"/>
      <w:lang w:val="de-DE"/>
    </w:rPr>
  </w:style>
  <w:style w:type="paragraph" w:customStyle="1" w:styleId="xl44">
    <w:name w:val="xl44"/>
    <w:basedOn w:val="Standard"/>
    <w:rsid w:val="00670DF6"/>
    <w:pPr>
      <w:pBdr>
        <w:left w:val="single" w:sz="4" w:space="0" w:color="auto"/>
      </w:pBdr>
      <w:overflowPunct/>
      <w:autoSpaceDE/>
      <w:autoSpaceDN/>
      <w:adjustRightInd/>
      <w:spacing w:before="100" w:beforeAutospacing="1" w:after="100" w:afterAutospacing="1"/>
      <w:jc w:val="right"/>
      <w:textAlignment w:val="top"/>
    </w:pPr>
    <w:rPr>
      <w:rFonts w:cs="Arial"/>
      <w:color w:val="FF0000"/>
      <w:sz w:val="18"/>
      <w:szCs w:val="18"/>
      <w:lang w:val="de-DE"/>
    </w:rPr>
  </w:style>
  <w:style w:type="paragraph" w:customStyle="1" w:styleId="xl45">
    <w:name w:val="xl45"/>
    <w:basedOn w:val="Standard"/>
    <w:rsid w:val="00670DF6"/>
    <w:pPr>
      <w:overflowPunct/>
      <w:autoSpaceDE/>
      <w:autoSpaceDN/>
      <w:adjustRightInd/>
      <w:spacing w:before="100" w:beforeAutospacing="1" w:after="100" w:afterAutospacing="1"/>
      <w:textAlignment w:val="auto"/>
    </w:pPr>
    <w:rPr>
      <w:rFonts w:cs="Arial"/>
      <w:b/>
      <w:bCs/>
      <w:sz w:val="18"/>
      <w:szCs w:val="18"/>
      <w:lang w:val="de-DE"/>
    </w:rPr>
  </w:style>
  <w:style w:type="paragraph" w:customStyle="1" w:styleId="xl46">
    <w:name w:val="xl46"/>
    <w:basedOn w:val="Standard"/>
    <w:rsid w:val="00670DF6"/>
    <w:pPr>
      <w:pBdr>
        <w:left w:val="single" w:sz="4" w:space="0" w:color="auto"/>
      </w:pBdr>
      <w:overflowPunct/>
      <w:autoSpaceDE/>
      <w:autoSpaceDN/>
      <w:adjustRightInd/>
      <w:spacing w:before="100" w:beforeAutospacing="1" w:after="100" w:afterAutospacing="1"/>
      <w:textAlignment w:val="top"/>
    </w:pPr>
    <w:rPr>
      <w:rFonts w:cs="Arial"/>
      <w:b/>
      <w:bCs/>
      <w:sz w:val="18"/>
      <w:szCs w:val="18"/>
      <w:lang w:val="de-DE"/>
    </w:rPr>
  </w:style>
  <w:style w:type="paragraph" w:customStyle="1" w:styleId="xl47">
    <w:name w:val="xl47"/>
    <w:basedOn w:val="Standard"/>
    <w:rsid w:val="00670DF6"/>
    <w:pPr>
      <w:pBdr>
        <w:left w:val="single" w:sz="4" w:space="0" w:color="auto"/>
      </w:pBdr>
      <w:overflowPunct/>
      <w:autoSpaceDE/>
      <w:autoSpaceDN/>
      <w:adjustRightInd/>
      <w:spacing w:before="100" w:beforeAutospacing="1" w:after="100" w:afterAutospacing="1"/>
      <w:textAlignment w:val="top"/>
    </w:pPr>
    <w:rPr>
      <w:rFonts w:cs="Arial"/>
      <w:sz w:val="18"/>
      <w:szCs w:val="18"/>
      <w:lang w:val="de-DE"/>
    </w:rPr>
  </w:style>
  <w:style w:type="paragraph" w:customStyle="1" w:styleId="xl48">
    <w:name w:val="xl48"/>
    <w:basedOn w:val="Standard"/>
    <w:rsid w:val="00670DF6"/>
    <w:pPr>
      <w:pBdr>
        <w:left w:val="single" w:sz="4" w:space="0" w:color="auto"/>
      </w:pBdr>
      <w:overflowPunct/>
      <w:autoSpaceDE/>
      <w:autoSpaceDN/>
      <w:adjustRightInd/>
      <w:spacing w:before="100" w:beforeAutospacing="1" w:after="100" w:afterAutospacing="1"/>
      <w:jc w:val="right"/>
      <w:textAlignment w:val="top"/>
    </w:pPr>
    <w:rPr>
      <w:rFonts w:cs="Arial"/>
      <w:sz w:val="18"/>
      <w:szCs w:val="18"/>
      <w:lang w:val="de-DE"/>
    </w:rPr>
  </w:style>
  <w:style w:type="paragraph" w:customStyle="1" w:styleId="xl49">
    <w:name w:val="xl49"/>
    <w:basedOn w:val="Standard"/>
    <w:rsid w:val="00670DF6"/>
    <w:pPr>
      <w:pBdr>
        <w:left w:val="single" w:sz="4" w:space="0" w:color="auto"/>
      </w:pBdr>
      <w:overflowPunct/>
      <w:autoSpaceDE/>
      <w:autoSpaceDN/>
      <w:adjustRightInd/>
      <w:spacing w:before="100" w:beforeAutospacing="1" w:after="100" w:afterAutospacing="1"/>
      <w:textAlignment w:val="top"/>
    </w:pPr>
    <w:rPr>
      <w:rFonts w:cs="Arial"/>
      <w:sz w:val="18"/>
      <w:szCs w:val="18"/>
      <w:lang w:val="de-DE"/>
    </w:rPr>
  </w:style>
  <w:style w:type="paragraph" w:customStyle="1" w:styleId="xl50">
    <w:name w:val="xl50"/>
    <w:basedOn w:val="Standard"/>
    <w:link w:val="xl50Zchn"/>
    <w:rsid w:val="00670DF6"/>
    <w:pPr>
      <w:pBdr>
        <w:left w:val="single" w:sz="4" w:space="0" w:color="auto"/>
      </w:pBdr>
      <w:overflowPunct/>
      <w:autoSpaceDE/>
      <w:autoSpaceDN/>
      <w:adjustRightInd/>
      <w:spacing w:before="100" w:beforeAutospacing="1" w:after="100" w:afterAutospacing="1"/>
      <w:textAlignment w:val="top"/>
    </w:pPr>
    <w:rPr>
      <w:rFonts w:cs="Arial"/>
      <w:color w:val="FF0000"/>
      <w:sz w:val="18"/>
      <w:szCs w:val="18"/>
      <w:lang w:val="de-DE"/>
    </w:rPr>
  </w:style>
  <w:style w:type="paragraph" w:customStyle="1" w:styleId="xl51">
    <w:name w:val="xl51"/>
    <w:basedOn w:val="Standard"/>
    <w:rsid w:val="00670DF6"/>
    <w:pPr>
      <w:pBdr>
        <w:left w:val="single" w:sz="4" w:space="0" w:color="auto"/>
      </w:pBdr>
      <w:overflowPunct/>
      <w:autoSpaceDE/>
      <w:autoSpaceDN/>
      <w:adjustRightInd/>
      <w:spacing w:before="100" w:beforeAutospacing="1" w:after="100" w:afterAutospacing="1"/>
      <w:textAlignment w:val="top"/>
    </w:pPr>
    <w:rPr>
      <w:rFonts w:cs="Arial"/>
      <w:b/>
      <w:bCs/>
      <w:sz w:val="16"/>
      <w:szCs w:val="16"/>
      <w:lang w:val="de-DE"/>
    </w:rPr>
  </w:style>
  <w:style w:type="paragraph" w:customStyle="1" w:styleId="xl52">
    <w:name w:val="xl52"/>
    <w:basedOn w:val="Standard"/>
    <w:rsid w:val="00670DF6"/>
    <w:pPr>
      <w:pBdr>
        <w:left w:val="single" w:sz="4" w:space="0" w:color="auto"/>
      </w:pBdr>
      <w:overflowPunct/>
      <w:autoSpaceDE/>
      <w:autoSpaceDN/>
      <w:adjustRightInd/>
      <w:spacing w:before="100" w:beforeAutospacing="1" w:after="100" w:afterAutospacing="1"/>
      <w:textAlignment w:val="top"/>
    </w:pPr>
    <w:rPr>
      <w:rFonts w:cs="Arial"/>
      <w:sz w:val="16"/>
      <w:szCs w:val="16"/>
      <w:lang w:val="de-DE"/>
    </w:rPr>
  </w:style>
  <w:style w:type="paragraph" w:customStyle="1" w:styleId="xl53">
    <w:name w:val="xl53"/>
    <w:basedOn w:val="Standard"/>
    <w:rsid w:val="00670DF6"/>
    <w:pPr>
      <w:pBdr>
        <w:left w:val="single" w:sz="4" w:space="0" w:color="auto"/>
      </w:pBdr>
      <w:overflowPunct/>
      <w:autoSpaceDE/>
      <w:autoSpaceDN/>
      <w:adjustRightInd/>
      <w:spacing w:before="100" w:beforeAutospacing="1" w:after="100" w:afterAutospacing="1"/>
      <w:textAlignment w:val="top"/>
    </w:pPr>
    <w:rPr>
      <w:rFonts w:cs="Arial"/>
      <w:sz w:val="16"/>
      <w:szCs w:val="16"/>
      <w:lang w:val="de-DE"/>
    </w:rPr>
  </w:style>
  <w:style w:type="paragraph" w:customStyle="1" w:styleId="xl54">
    <w:name w:val="xl54"/>
    <w:basedOn w:val="Standard"/>
    <w:rsid w:val="00670DF6"/>
    <w:pPr>
      <w:pBdr>
        <w:left w:val="single" w:sz="4" w:space="0" w:color="auto"/>
      </w:pBdr>
      <w:overflowPunct/>
      <w:autoSpaceDE/>
      <w:autoSpaceDN/>
      <w:adjustRightInd/>
      <w:spacing w:before="100" w:beforeAutospacing="1" w:after="100" w:afterAutospacing="1"/>
      <w:textAlignment w:val="top"/>
    </w:pPr>
    <w:rPr>
      <w:rFonts w:cs="Arial"/>
      <w:color w:val="FF0000"/>
      <w:sz w:val="16"/>
      <w:szCs w:val="16"/>
      <w:lang w:val="de-DE"/>
    </w:rPr>
  </w:style>
  <w:style w:type="paragraph" w:customStyle="1" w:styleId="xl55">
    <w:name w:val="xl55"/>
    <w:basedOn w:val="Standard"/>
    <w:rsid w:val="00670DF6"/>
    <w:pPr>
      <w:pBdr>
        <w:left w:val="single" w:sz="4" w:space="0" w:color="auto"/>
      </w:pBdr>
      <w:overflowPunct/>
      <w:autoSpaceDE/>
      <w:autoSpaceDN/>
      <w:adjustRightInd/>
      <w:spacing w:before="100" w:beforeAutospacing="1" w:after="100" w:afterAutospacing="1"/>
      <w:textAlignment w:val="top"/>
    </w:pPr>
    <w:rPr>
      <w:rFonts w:cs="Arial"/>
      <w:color w:val="FF0000"/>
      <w:sz w:val="16"/>
      <w:szCs w:val="16"/>
      <w:lang w:val="de-DE"/>
    </w:rPr>
  </w:style>
  <w:style w:type="paragraph" w:customStyle="1" w:styleId="xl56">
    <w:name w:val="xl56"/>
    <w:basedOn w:val="Standard"/>
    <w:rsid w:val="00670DF6"/>
    <w:pPr>
      <w:pBdr>
        <w:left w:val="single" w:sz="4" w:space="0" w:color="auto"/>
      </w:pBdr>
      <w:overflowPunct/>
      <w:autoSpaceDE/>
      <w:autoSpaceDN/>
      <w:adjustRightInd/>
      <w:spacing w:before="100" w:beforeAutospacing="1" w:after="100" w:afterAutospacing="1"/>
      <w:textAlignment w:val="top"/>
    </w:pPr>
    <w:rPr>
      <w:rFonts w:cs="Arial"/>
      <w:sz w:val="16"/>
      <w:szCs w:val="16"/>
      <w:lang w:val="de-DE"/>
    </w:rPr>
  </w:style>
  <w:style w:type="paragraph" w:styleId="Kommentartext">
    <w:name w:val="annotation text"/>
    <w:basedOn w:val="Standard"/>
    <w:semiHidden/>
    <w:rsid w:val="00670DF6"/>
    <w:rPr>
      <w:sz w:val="20"/>
    </w:rPr>
  </w:style>
  <w:style w:type="paragraph" w:styleId="Kommentarthema">
    <w:name w:val="annotation subject"/>
    <w:basedOn w:val="Kommentartext"/>
    <w:next w:val="Kommentartext"/>
    <w:semiHidden/>
    <w:rsid w:val="00670DF6"/>
    <w:pPr>
      <w:overflowPunct/>
      <w:autoSpaceDE/>
      <w:autoSpaceDN/>
      <w:adjustRightInd/>
      <w:textAlignment w:val="auto"/>
    </w:pPr>
    <w:rPr>
      <w:rFonts w:ascii="Times New Roman" w:hAnsi="Times New Roman"/>
      <w:b/>
      <w:bCs/>
      <w:lang w:val="de-DE"/>
    </w:rPr>
  </w:style>
  <w:style w:type="paragraph" w:customStyle="1" w:styleId="HRMStandNumerierung">
    <w:name w:val="HRM Stand Numerierung"/>
    <w:basedOn w:val="HRMStandardNumChar"/>
    <w:link w:val="HRMStandNumerierungZchn"/>
    <w:rsid w:val="00670DF6"/>
    <w:pPr>
      <w:numPr>
        <w:numId w:val="12"/>
      </w:numPr>
      <w:tabs>
        <w:tab w:val="clear" w:pos="1134"/>
        <w:tab w:val="num" w:pos="360"/>
      </w:tabs>
      <w:ind w:left="0" w:firstLine="0"/>
    </w:pPr>
  </w:style>
  <w:style w:type="paragraph" w:customStyle="1" w:styleId="FormatvorlageFVHRM2EmpfNichtFettChar">
    <w:name w:val="Formatvorlage FVHRM2Empf + Nicht Fett Char"/>
    <w:basedOn w:val="FVHRM2EmpfChar"/>
    <w:link w:val="FormatvorlageFVHRM2EmpfNichtFettCharChar"/>
    <w:rsid w:val="00670DF6"/>
    <w:pPr>
      <w:numPr>
        <w:numId w:val="13"/>
      </w:numPr>
      <w:ind w:left="0" w:firstLine="0"/>
    </w:pPr>
    <w:rPr>
      <w:b w:val="0"/>
    </w:rPr>
  </w:style>
  <w:style w:type="character" w:customStyle="1" w:styleId="HRMStandardCharChar">
    <w:name w:val="HRM Standard Char Char"/>
    <w:basedOn w:val="Absatz-Standardschriftart"/>
    <w:link w:val="HRMStandardChar"/>
    <w:rsid w:val="00670DF6"/>
    <w:rPr>
      <w:rFonts w:ascii="Arial" w:hAnsi="Arial" w:cs="Arial"/>
      <w:bCs/>
      <w:sz w:val="22"/>
      <w:szCs w:val="24"/>
      <w:lang w:val="de-CH" w:eastAsia="de-DE" w:bidi="ar-SA"/>
    </w:rPr>
  </w:style>
  <w:style w:type="character" w:customStyle="1" w:styleId="HRMStandardNumCharChar">
    <w:name w:val="HRM Standard Num Char Char"/>
    <w:basedOn w:val="HRMStandardCharChar"/>
    <w:link w:val="HRMStandardNumChar"/>
    <w:rsid w:val="00670DF6"/>
    <w:rPr>
      <w:rFonts w:ascii="Arial" w:eastAsia="Arial Unicode MS" w:hAnsi="Arial" w:cs="Arial"/>
      <w:bCs/>
      <w:sz w:val="22"/>
      <w:szCs w:val="24"/>
      <w:lang w:val="de-CH" w:eastAsia="de-DE" w:bidi="ar-SA"/>
    </w:rPr>
  </w:style>
  <w:style w:type="character" w:customStyle="1" w:styleId="FVHRM2EmpfCharChar">
    <w:name w:val="FVHRM2Empf Char Char"/>
    <w:basedOn w:val="HRMStandardNumCharChar"/>
    <w:link w:val="FVHRM2EmpfChar"/>
    <w:rsid w:val="00670DF6"/>
    <w:rPr>
      <w:rFonts w:ascii="Arial" w:eastAsia="Arial Unicode MS" w:hAnsi="Arial" w:cs="Arial"/>
      <w:b/>
      <w:bCs/>
      <w:sz w:val="22"/>
      <w:szCs w:val="24"/>
      <w:lang w:val="de-CH" w:eastAsia="de-DE" w:bidi="ar-SA"/>
    </w:rPr>
  </w:style>
  <w:style w:type="character" w:customStyle="1" w:styleId="FormatvorlageFVHRM2EmpfNichtFettCharChar">
    <w:name w:val="Formatvorlage FVHRM2Empf + Nicht Fett Char Char"/>
    <w:basedOn w:val="FVHRM2EmpfCharChar"/>
    <w:link w:val="FormatvorlageFVHRM2EmpfNichtFettChar"/>
    <w:rsid w:val="00670DF6"/>
    <w:rPr>
      <w:rFonts w:ascii="Arial" w:eastAsia="Arial Unicode MS" w:hAnsi="Arial" w:cs="Arial"/>
      <w:b/>
      <w:bCs/>
      <w:sz w:val="22"/>
      <w:szCs w:val="24"/>
      <w:lang w:val="de-CH" w:eastAsia="de-DE" w:bidi="ar-SA"/>
    </w:rPr>
  </w:style>
  <w:style w:type="paragraph" w:customStyle="1" w:styleId="Briefkopf">
    <w:name w:val="Briefkopf"/>
    <w:rsid w:val="00670DF6"/>
    <w:pPr>
      <w:tabs>
        <w:tab w:val="left" w:pos="1134"/>
      </w:tabs>
    </w:pPr>
    <w:rPr>
      <w:rFonts w:ascii="Arial" w:hAnsi="Arial"/>
      <w:noProof/>
      <w:sz w:val="16"/>
    </w:rPr>
  </w:style>
  <w:style w:type="paragraph" w:customStyle="1" w:styleId="Kontentabelle4-stellige">
    <w:name w:val="Kontentabelle 4-stellige"/>
    <w:basedOn w:val="Textkrper"/>
    <w:rsid w:val="00670DF6"/>
    <w:pPr>
      <w:spacing w:line="240" w:lineRule="auto"/>
    </w:pPr>
    <w:rPr>
      <w:rFonts w:ascii="Arial" w:hAnsi="Arial"/>
      <w:sz w:val="20"/>
      <w:lang w:eastAsia="en-US"/>
    </w:rPr>
  </w:style>
  <w:style w:type="paragraph" w:customStyle="1" w:styleId="Tabellenkontennummern">
    <w:name w:val="Tabellenkontennummern"/>
    <w:basedOn w:val="Textkrper"/>
    <w:rsid w:val="00670DF6"/>
    <w:pPr>
      <w:spacing w:before="120" w:after="120" w:line="240" w:lineRule="auto"/>
    </w:pPr>
    <w:rPr>
      <w:rFonts w:ascii="Arial" w:hAnsi="Arial"/>
      <w:b/>
      <w:bCs/>
      <w:sz w:val="20"/>
      <w:lang w:eastAsia="en-US"/>
    </w:rPr>
  </w:style>
  <w:style w:type="character" w:customStyle="1" w:styleId="Kontentabelle4-stelligeChar">
    <w:name w:val="Kontentabelle 4-stellige Char"/>
    <w:basedOn w:val="Absatz-Standardschriftart"/>
    <w:rsid w:val="00670DF6"/>
    <w:rPr>
      <w:rFonts w:ascii="Arial" w:hAnsi="Arial" w:cs="Arial"/>
      <w:lang w:val="de-CH" w:eastAsia="en-US" w:bidi="ar-SA"/>
    </w:rPr>
  </w:style>
  <w:style w:type="paragraph" w:customStyle="1" w:styleId="Bullet1End">
    <w:name w:val="Bullet 1 End"/>
    <w:basedOn w:val="Standard"/>
    <w:next w:val="Textkrper"/>
    <w:rsid w:val="00670DF6"/>
    <w:pPr>
      <w:tabs>
        <w:tab w:val="num" w:pos="567"/>
      </w:tabs>
      <w:overflowPunct/>
      <w:autoSpaceDE/>
      <w:autoSpaceDN/>
      <w:adjustRightInd/>
      <w:spacing w:after="240"/>
      <w:ind w:left="851" w:hanging="567"/>
      <w:textAlignment w:val="auto"/>
    </w:pPr>
    <w:rPr>
      <w:rFonts w:cs="Arial"/>
      <w:sz w:val="20"/>
      <w:lang w:val="en-US" w:eastAsia="en-US"/>
    </w:rPr>
  </w:style>
  <w:style w:type="paragraph" w:customStyle="1" w:styleId="TextNormal">
    <w:name w:val="TextNormal"/>
    <w:basedOn w:val="Standard"/>
    <w:rsid w:val="00670DF6"/>
    <w:pPr>
      <w:overflowPunct/>
      <w:autoSpaceDE/>
      <w:autoSpaceDN/>
      <w:adjustRightInd/>
      <w:spacing w:before="240"/>
      <w:jc w:val="both"/>
      <w:textAlignment w:val="auto"/>
    </w:pPr>
    <w:rPr>
      <w:sz w:val="20"/>
      <w:lang w:eastAsia="de-CH"/>
    </w:rPr>
  </w:style>
  <w:style w:type="character" w:customStyle="1" w:styleId="grundtextklein1">
    <w:name w:val="grundtext_klein1"/>
    <w:basedOn w:val="Absatz-Standardschriftart"/>
    <w:rsid w:val="00670DF6"/>
    <w:rPr>
      <w:rFonts w:ascii="Arial" w:hAnsi="Arial" w:hint="default"/>
      <w:i w:val="0"/>
      <w:iCs w:val="0"/>
      <w:sz w:val="17"/>
      <w:szCs w:val="17"/>
    </w:rPr>
  </w:style>
  <w:style w:type="character" w:customStyle="1" w:styleId="CharChar2">
    <w:name w:val="Char Char2"/>
    <w:basedOn w:val="Absatz-Standardschriftart"/>
    <w:rsid w:val="00670DF6"/>
    <w:rPr>
      <w:rFonts w:ascii="Arial" w:hAnsi="Arial"/>
      <w:b/>
      <w:bCs/>
      <w:lang w:val="de-CH" w:eastAsia="de-DE" w:bidi="ar-SA"/>
    </w:rPr>
  </w:style>
  <w:style w:type="character" w:customStyle="1" w:styleId="Formatvorlageberschrift1Zchn">
    <w:name w:val="Formatvorlage Überschrift1 Zchn"/>
    <w:basedOn w:val="Absatz-Standardschriftart"/>
    <w:rsid w:val="00670DF6"/>
    <w:rPr>
      <w:rFonts w:ascii="Gill Alt One MT Light" w:hAnsi="Gill Alt One MT Light"/>
      <w:b/>
      <w:kern w:val="28"/>
      <w:sz w:val="36"/>
      <w:lang w:val="de-DE" w:eastAsia="de-DE" w:bidi="ar-SA"/>
    </w:rPr>
  </w:style>
  <w:style w:type="paragraph" w:customStyle="1" w:styleId="REFVStandardCharChar">
    <w:name w:val="REFVStandard Char Char"/>
    <w:basedOn w:val="Standard"/>
    <w:autoRedefine/>
    <w:rsid w:val="00670DF6"/>
    <w:pPr>
      <w:overflowPunct/>
      <w:autoSpaceDE/>
      <w:autoSpaceDN/>
      <w:adjustRightInd/>
      <w:spacing w:line="360" w:lineRule="auto"/>
      <w:ind w:right="-110"/>
      <w:jc w:val="both"/>
      <w:textAlignment w:val="auto"/>
    </w:pPr>
    <w:rPr>
      <w:bCs/>
      <w:color w:val="000000"/>
      <w:sz w:val="22"/>
      <w:szCs w:val="22"/>
      <w:lang w:val="de-DE"/>
    </w:rPr>
  </w:style>
  <w:style w:type="paragraph" w:customStyle="1" w:styleId="FVHRM2Empf">
    <w:name w:val="FVHRM2Empf"/>
    <w:basedOn w:val="Standard"/>
    <w:rsid w:val="00670DF6"/>
    <w:pPr>
      <w:numPr>
        <w:numId w:val="14"/>
      </w:numPr>
      <w:pBdr>
        <w:top w:val="single" w:sz="4" w:space="1" w:color="auto"/>
        <w:left w:val="single" w:sz="4" w:space="4" w:color="auto"/>
        <w:bottom w:val="single" w:sz="4" w:space="1" w:color="auto"/>
        <w:right w:val="single" w:sz="4" w:space="4" w:color="auto"/>
      </w:pBdr>
      <w:overflowPunct/>
      <w:autoSpaceDE/>
      <w:autoSpaceDN/>
      <w:adjustRightInd/>
      <w:spacing w:line="360" w:lineRule="auto"/>
      <w:jc w:val="both"/>
      <w:textAlignment w:val="auto"/>
    </w:pPr>
    <w:rPr>
      <w:rFonts w:eastAsia="Arial Unicode MS" w:cs="Arial"/>
      <w:b/>
      <w:sz w:val="22"/>
      <w:szCs w:val="24"/>
    </w:rPr>
  </w:style>
  <w:style w:type="paragraph" w:styleId="Abbildungsverzeichnis">
    <w:name w:val="table of figures"/>
    <w:basedOn w:val="Standard"/>
    <w:next w:val="Standard"/>
    <w:semiHidden/>
    <w:rsid w:val="00670DF6"/>
    <w:pPr>
      <w:ind w:left="480" w:hanging="480"/>
    </w:pPr>
  </w:style>
  <w:style w:type="table" w:customStyle="1" w:styleId="Tabellengitternetz1">
    <w:name w:val="Tabellengitternetz1"/>
    <w:basedOn w:val="NormaleTabelle"/>
    <w:next w:val="Tabellenraster"/>
    <w:rsid w:val="00670D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semiHidden/>
    <w:rsid w:val="00670DF6"/>
    <w:rPr>
      <w:sz w:val="16"/>
      <w:szCs w:val="16"/>
    </w:rPr>
  </w:style>
  <w:style w:type="paragraph" w:customStyle="1" w:styleId="Textkrper21">
    <w:name w:val="Textkörper 21"/>
    <w:basedOn w:val="Standard"/>
    <w:rsid w:val="00670DF6"/>
    <w:pPr>
      <w:overflowPunct/>
      <w:autoSpaceDE/>
      <w:autoSpaceDN/>
      <w:adjustRightInd/>
      <w:jc w:val="both"/>
      <w:textAlignment w:val="auto"/>
    </w:pPr>
    <w:rPr>
      <w:sz w:val="22"/>
      <w:lang w:val="de-DE" w:eastAsia="de-CH"/>
    </w:rPr>
  </w:style>
  <w:style w:type="paragraph" w:customStyle="1" w:styleId="Bullet2">
    <w:name w:val="Bullet 2"/>
    <w:basedOn w:val="Standard"/>
    <w:rsid w:val="00670DF6"/>
    <w:pPr>
      <w:numPr>
        <w:numId w:val="15"/>
      </w:numPr>
      <w:overflowPunct/>
      <w:autoSpaceDE/>
      <w:autoSpaceDN/>
      <w:adjustRightInd/>
      <w:spacing w:after="120"/>
      <w:textAlignment w:val="auto"/>
    </w:pPr>
    <w:rPr>
      <w:sz w:val="20"/>
      <w:lang w:eastAsia="en-US"/>
    </w:rPr>
  </w:style>
  <w:style w:type="paragraph" w:customStyle="1" w:styleId="Bullet1">
    <w:name w:val="Bullet 1"/>
    <w:basedOn w:val="Textkrper"/>
    <w:rsid w:val="00670DF6"/>
    <w:pPr>
      <w:numPr>
        <w:numId w:val="16"/>
      </w:numPr>
      <w:spacing w:after="120" w:line="240" w:lineRule="auto"/>
    </w:pPr>
    <w:rPr>
      <w:rFonts w:ascii="Arial" w:hAnsi="Arial" w:cs="Arial"/>
      <w:sz w:val="20"/>
      <w:lang w:eastAsia="en-US"/>
    </w:rPr>
  </w:style>
  <w:style w:type="character" w:customStyle="1" w:styleId="xl41Zchn">
    <w:name w:val="xl41 Zchn"/>
    <w:basedOn w:val="Absatz-Standardschriftart"/>
    <w:link w:val="xl41"/>
    <w:rsid w:val="00670DF6"/>
    <w:rPr>
      <w:rFonts w:ascii="Arial" w:hAnsi="Arial" w:cs="Arial"/>
      <w:sz w:val="18"/>
      <w:szCs w:val="18"/>
      <w:lang w:val="de-DE" w:eastAsia="de-DE" w:bidi="ar-SA"/>
    </w:rPr>
  </w:style>
  <w:style w:type="character" w:customStyle="1" w:styleId="xl43Zchn">
    <w:name w:val="xl43 Zchn"/>
    <w:basedOn w:val="Absatz-Standardschriftart"/>
    <w:link w:val="xl43"/>
    <w:rsid w:val="00670DF6"/>
    <w:rPr>
      <w:rFonts w:ascii="Arial" w:hAnsi="Arial" w:cs="Arial"/>
      <w:sz w:val="18"/>
      <w:szCs w:val="18"/>
      <w:lang w:val="de-DE" w:eastAsia="de-DE" w:bidi="ar-SA"/>
    </w:rPr>
  </w:style>
  <w:style w:type="character" w:customStyle="1" w:styleId="xl50Zchn">
    <w:name w:val="xl50 Zchn"/>
    <w:basedOn w:val="Absatz-Standardschriftart"/>
    <w:link w:val="xl50"/>
    <w:rsid w:val="00670DF6"/>
    <w:rPr>
      <w:rFonts w:ascii="Arial" w:hAnsi="Arial" w:cs="Arial"/>
      <w:color w:val="FF0000"/>
      <w:sz w:val="18"/>
      <w:szCs w:val="18"/>
      <w:lang w:val="de-DE" w:eastAsia="de-DE" w:bidi="ar-SA"/>
    </w:rPr>
  </w:style>
  <w:style w:type="paragraph" w:customStyle="1" w:styleId="Formatvorlage1">
    <w:name w:val="Formatvorlage1"/>
    <w:basedOn w:val="Listenfortsetzung2"/>
    <w:autoRedefine/>
    <w:rsid w:val="00670DF6"/>
    <w:pPr>
      <w:keepNext/>
      <w:outlineLvl w:val="2"/>
    </w:pPr>
  </w:style>
  <w:style w:type="paragraph" w:styleId="Listenfortsetzung2">
    <w:name w:val="List Continue 2"/>
    <w:basedOn w:val="Standard"/>
    <w:rsid w:val="00670DF6"/>
    <w:pPr>
      <w:spacing w:after="120"/>
      <w:ind w:left="566"/>
    </w:pPr>
  </w:style>
  <w:style w:type="character" w:customStyle="1" w:styleId="normal1">
    <w:name w:val="normal1"/>
    <w:basedOn w:val="Absatz-Standardschriftart"/>
    <w:rsid w:val="00670DF6"/>
    <w:rPr>
      <w:rFonts w:ascii="Arial" w:hAnsi="Arial" w:cs="Arial" w:hint="default"/>
      <w:color w:val="000000"/>
      <w:sz w:val="17"/>
      <w:szCs w:val="17"/>
    </w:rPr>
  </w:style>
  <w:style w:type="character" w:customStyle="1" w:styleId="font14fontblackfontboldpaddingtop3">
    <w:name w:val="font14 fontblack fontbold paddingtop3"/>
    <w:basedOn w:val="Absatz-Standardschriftart"/>
    <w:rsid w:val="00670DF6"/>
  </w:style>
  <w:style w:type="character" w:customStyle="1" w:styleId="articleZchn">
    <w:name w:val="article Zchn"/>
    <w:basedOn w:val="Absatz-Standardschriftart"/>
    <w:link w:val="article"/>
    <w:rsid w:val="00670DF6"/>
    <w:rPr>
      <w:sz w:val="24"/>
      <w:szCs w:val="24"/>
      <w:lang w:val="de-DE" w:eastAsia="de-DE" w:bidi="ar-SA"/>
    </w:rPr>
  </w:style>
  <w:style w:type="character" w:customStyle="1" w:styleId="HRMStandNumerierungZchn">
    <w:name w:val="HRM Stand Numerierung Zchn"/>
    <w:basedOn w:val="HRMStandardNumCharChar"/>
    <w:link w:val="HRMStandNumerierung"/>
    <w:rsid w:val="00670DF6"/>
    <w:rPr>
      <w:rFonts w:ascii="Arial" w:eastAsia="Arial Unicode MS" w:hAnsi="Arial" w:cs="Arial"/>
      <w:bCs/>
      <w:sz w:val="22"/>
      <w:szCs w:val="24"/>
      <w:lang w:val="de-CH" w:eastAsia="de-DE" w:bidi="ar-SA"/>
    </w:rPr>
  </w:style>
  <w:style w:type="character" w:customStyle="1" w:styleId="Char1Char">
    <w:name w:val="Char1 Char"/>
    <w:basedOn w:val="Absatz-Standardschriftart"/>
    <w:locked/>
    <w:rsid w:val="00670DF6"/>
    <w:rPr>
      <w:rFonts w:ascii="Arial" w:hAnsi="Arial"/>
      <w:b/>
      <w:kern w:val="28"/>
      <w:sz w:val="32"/>
      <w:lang w:val="de-CH" w:eastAsia="de-DE" w:bidi="ar-SA"/>
    </w:rPr>
  </w:style>
  <w:style w:type="character" w:customStyle="1" w:styleId="CharChar1">
    <w:name w:val="Char Char1"/>
    <w:basedOn w:val="Absatz-Standardschriftart"/>
    <w:locked/>
    <w:rsid w:val="00670DF6"/>
    <w:rPr>
      <w:rFonts w:ascii="Arial" w:hAnsi="Arial"/>
      <w:b/>
      <w:bCs/>
      <w:lang w:val="de-CH" w:eastAsia="de-DE" w:bidi="ar-SA"/>
    </w:rPr>
  </w:style>
  <w:style w:type="character" w:customStyle="1" w:styleId="CharChar3">
    <w:name w:val="Char Char3"/>
    <w:basedOn w:val="Absatz-Standardschriftart"/>
    <w:rsid w:val="00670DF6"/>
    <w:rPr>
      <w:rFonts w:ascii="Gill Alt One MT Light" w:hAnsi="Gill Alt One MT Light" w:cs="Times New Roman"/>
      <w:b/>
      <w:bCs/>
      <w:lang w:val="de-CH" w:eastAsia="de-DE" w:bidi="ar-SA"/>
    </w:rPr>
  </w:style>
  <w:style w:type="character" w:customStyle="1" w:styleId="CharChar21">
    <w:name w:val="Char Char21"/>
    <w:basedOn w:val="Absatz-Standardschriftart"/>
    <w:rsid w:val="00670DF6"/>
    <w:rPr>
      <w:rFonts w:ascii="Arial" w:hAnsi="Arial" w:cs="Times New Roman"/>
      <w:b/>
      <w:bCs/>
      <w:lang w:val="de-CH" w:eastAsia="de-DE" w:bidi="ar-SA"/>
    </w:rPr>
  </w:style>
  <w:style w:type="paragraph" w:styleId="Index1">
    <w:name w:val="index 1"/>
    <w:basedOn w:val="Standard"/>
    <w:next w:val="Standard"/>
    <w:autoRedefine/>
    <w:semiHidden/>
    <w:rsid w:val="00670DF6"/>
    <w:pPr>
      <w:ind w:left="240" w:hanging="240"/>
    </w:pPr>
  </w:style>
  <w:style w:type="character" w:customStyle="1" w:styleId="ofdatumgesetz1">
    <w:name w:val="ofdatumgesetz1"/>
    <w:basedOn w:val="Absatz-Standardschriftart"/>
    <w:rsid w:val="00B069AF"/>
    <w:rPr>
      <w:rFonts w:ascii="Arial" w:hAnsi="Arial" w:cs="Arial" w:hint="default"/>
      <w:i/>
      <w:iCs/>
      <w:sz w:val="20"/>
      <w:szCs w:val="20"/>
    </w:rPr>
  </w:style>
  <w:style w:type="character" w:customStyle="1" w:styleId="funotenzeichen0">
    <w:name w:val="fußnotenzeichen"/>
    <w:basedOn w:val="Absatz-Standardschriftart"/>
    <w:rsid w:val="00B069AF"/>
  </w:style>
  <w:style w:type="paragraph" w:customStyle="1" w:styleId="ofabsatz">
    <w:name w:val="ofabsatz"/>
    <w:basedOn w:val="Standard"/>
    <w:rsid w:val="00B069AF"/>
    <w:pPr>
      <w:overflowPunct/>
      <w:autoSpaceDE/>
      <w:autoSpaceDN/>
      <w:adjustRightInd/>
      <w:spacing w:before="90" w:after="100" w:afterAutospacing="1"/>
      <w:textAlignment w:val="auto"/>
    </w:pPr>
    <w:rPr>
      <w:rFonts w:cs="Arial"/>
      <w:sz w:val="20"/>
      <w:lang w:eastAsia="de-CH"/>
    </w:rPr>
  </w:style>
  <w:style w:type="paragraph" w:customStyle="1" w:styleId="ofaufzhlung1">
    <w:name w:val="ofaufzählung1"/>
    <w:basedOn w:val="Standard"/>
    <w:rsid w:val="00B069AF"/>
    <w:pPr>
      <w:overflowPunct/>
      <w:autoSpaceDE/>
      <w:autoSpaceDN/>
      <w:adjustRightInd/>
      <w:spacing w:before="90" w:after="100" w:afterAutospacing="1"/>
      <w:textAlignment w:val="auto"/>
    </w:pPr>
    <w:rPr>
      <w:rFonts w:cs="Arial"/>
      <w:sz w:val="20"/>
      <w:lang w:eastAsia="de-CH"/>
    </w:rPr>
  </w:style>
  <w:style w:type="character" w:customStyle="1" w:styleId="paragraph">
    <w:name w:val="paragraph"/>
    <w:basedOn w:val="Absatz-Standardschriftart"/>
    <w:rsid w:val="00B069AF"/>
  </w:style>
  <w:style w:type="paragraph" w:customStyle="1" w:styleId="berschrift30">
    <w:name w:val="überschrift3"/>
    <w:basedOn w:val="Standard"/>
    <w:rsid w:val="00843CD7"/>
    <w:pPr>
      <w:overflowPunct/>
      <w:autoSpaceDE/>
      <w:autoSpaceDN/>
      <w:adjustRightInd/>
      <w:spacing w:before="90" w:after="100" w:afterAutospacing="1"/>
      <w:textAlignment w:val="auto"/>
    </w:pPr>
    <w:rPr>
      <w:rFonts w:cs="Arial"/>
      <w:sz w:val="20"/>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910435">
      <w:bodyDiv w:val="1"/>
      <w:marLeft w:val="0"/>
      <w:marRight w:val="0"/>
      <w:marTop w:val="0"/>
      <w:marBottom w:val="0"/>
      <w:divBdr>
        <w:top w:val="none" w:sz="0" w:space="0" w:color="auto"/>
        <w:left w:val="none" w:sz="0" w:space="0" w:color="auto"/>
        <w:bottom w:val="none" w:sz="0" w:space="0" w:color="auto"/>
        <w:right w:val="none" w:sz="0" w:space="0" w:color="auto"/>
      </w:divBdr>
      <w:divsChild>
        <w:div w:id="334958541">
          <w:marLeft w:val="0"/>
          <w:marRight w:val="0"/>
          <w:marTop w:val="0"/>
          <w:marBottom w:val="0"/>
          <w:divBdr>
            <w:top w:val="none" w:sz="0" w:space="0" w:color="auto"/>
            <w:left w:val="none" w:sz="0" w:space="0" w:color="auto"/>
            <w:bottom w:val="none" w:sz="0" w:space="0" w:color="auto"/>
            <w:right w:val="none" w:sz="0" w:space="0" w:color="auto"/>
          </w:divBdr>
          <w:divsChild>
            <w:div w:id="1475024267">
              <w:marLeft w:val="0"/>
              <w:marRight w:val="0"/>
              <w:marTop w:val="0"/>
              <w:marBottom w:val="0"/>
              <w:divBdr>
                <w:top w:val="none" w:sz="0" w:space="0" w:color="auto"/>
                <w:left w:val="none" w:sz="0" w:space="0" w:color="auto"/>
                <w:bottom w:val="none" w:sz="0" w:space="0" w:color="auto"/>
                <w:right w:val="none" w:sz="0" w:space="0" w:color="auto"/>
              </w:divBdr>
            </w:div>
          </w:divsChild>
        </w:div>
        <w:div w:id="1209679883">
          <w:marLeft w:val="0"/>
          <w:marRight w:val="0"/>
          <w:marTop w:val="0"/>
          <w:marBottom w:val="0"/>
          <w:divBdr>
            <w:top w:val="none" w:sz="0" w:space="0" w:color="auto"/>
            <w:left w:val="none" w:sz="0" w:space="0" w:color="auto"/>
            <w:bottom w:val="none" w:sz="0" w:space="0" w:color="auto"/>
            <w:right w:val="none" w:sz="0" w:space="0" w:color="auto"/>
          </w:divBdr>
        </w:div>
      </w:divsChild>
    </w:div>
    <w:div w:id="743063908">
      <w:bodyDiv w:val="1"/>
      <w:marLeft w:val="0"/>
      <w:marRight w:val="0"/>
      <w:marTop w:val="0"/>
      <w:marBottom w:val="0"/>
      <w:divBdr>
        <w:top w:val="none" w:sz="0" w:space="0" w:color="auto"/>
        <w:left w:val="none" w:sz="0" w:space="0" w:color="auto"/>
        <w:bottom w:val="none" w:sz="0" w:space="0" w:color="auto"/>
        <w:right w:val="none" w:sz="0" w:space="0" w:color="auto"/>
      </w:divBdr>
    </w:div>
    <w:div w:id="1331446126">
      <w:bodyDiv w:val="1"/>
      <w:marLeft w:val="0"/>
      <w:marRight w:val="0"/>
      <w:marTop w:val="0"/>
      <w:marBottom w:val="0"/>
      <w:divBdr>
        <w:top w:val="none" w:sz="0" w:space="0" w:color="auto"/>
        <w:left w:val="none" w:sz="0" w:space="0" w:color="auto"/>
        <w:bottom w:val="none" w:sz="0" w:space="0" w:color="auto"/>
        <w:right w:val="none" w:sz="0" w:space="0" w:color="auto"/>
      </w:divBdr>
    </w:div>
    <w:div w:id="2010325739">
      <w:bodyDiv w:val="1"/>
      <w:marLeft w:val="0"/>
      <w:marRight w:val="0"/>
      <w:marTop w:val="0"/>
      <w:marBottom w:val="0"/>
      <w:divBdr>
        <w:top w:val="none" w:sz="0" w:space="0" w:color="auto"/>
        <w:left w:val="none" w:sz="0" w:space="0" w:color="auto"/>
        <w:bottom w:val="none" w:sz="0" w:space="0" w:color="auto"/>
        <w:right w:val="none" w:sz="0" w:space="0" w:color="auto"/>
      </w:divBdr>
      <w:divsChild>
        <w:div w:id="2103640220">
          <w:marLeft w:val="0"/>
          <w:marRight w:val="0"/>
          <w:marTop w:val="0"/>
          <w:marBottom w:val="0"/>
          <w:divBdr>
            <w:top w:val="none" w:sz="0" w:space="0" w:color="auto"/>
            <w:left w:val="none" w:sz="0" w:space="0" w:color="auto"/>
            <w:bottom w:val="none" w:sz="0" w:space="0" w:color="auto"/>
            <w:right w:val="none" w:sz="0" w:space="0" w:color="auto"/>
          </w:divBdr>
          <w:divsChild>
            <w:div w:id="19026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2170</Words>
  <Characters>13674</Characters>
  <Application>Microsoft Office Word</Application>
  <DocSecurity>0</DocSecurity>
  <Lines>113</Lines>
  <Paragraphs>31</Paragraphs>
  <ScaleCrop>false</ScaleCrop>
  <HeadingPairs>
    <vt:vector size="2" baseType="variant">
      <vt:variant>
        <vt:lpstr>Titel</vt:lpstr>
      </vt:variant>
      <vt:variant>
        <vt:i4>1</vt:i4>
      </vt:variant>
    </vt:vector>
  </HeadingPairs>
  <TitlesOfParts>
    <vt:vector size="1" baseType="lpstr">
      <vt:lpstr>Glossar</vt:lpstr>
    </vt:vector>
  </TitlesOfParts>
  <Company>Unternehmensberatung GmbH</Company>
  <LinksUpToDate>false</LinksUpToDate>
  <CharactersWithSpaces>15813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Glossar</dc:title>
  <dc:subject/>
  <dc:creator>Marianne Blättler</dc:creator>
  <cp:keywords/>
  <dc:description/>
  <cp:lastModifiedBy>Marianne Blättler</cp:lastModifiedBy>
  <cp:revision>2</cp:revision>
  <cp:lastPrinted>2008-08-08T16:16:00Z</cp:lastPrinted>
  <dcterms:created xsi:type="dcterms:W3CDTF">2018-09-22T12:36:00Z</dcterms:created>
  <dcterms:modified xsi:type="dcterms:W3CDTF">2018-09-22T12:36:00Z</dcterms:modified>
</cp:coreProperties>
</file>